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ЧЕЛОВЕК  /  ЗЕМЛЯ  /  КООПЕРАЦИЯ  /  БУДУЩЕЕ</w:t>
      </w:r>
    </w:p>
    <w:p>
      <w:pPr>
        <w:spacing w:before="340" w:after="260"/>
      </w:pPr>
      <w:r>
        <w:rPr>
          <w:rFonts w:ascii="Georgia" w:hAnsi="Georgia" w:eastAsia="Georgia" w:cs="Georgia"/>
          <w:b w:val="0"/>
          <w:color w:val="173D32"/>
          <w:sz w:val="108"/>
        </w:rPr>
        <w:t>ЖИВОЕ</w:t>
        <w:br/>
        <w:t>СЕЛО</w:t>
      </w:r>
    </w:p>
    <w:p>
      <w:pPr>
        <w:spacing w:after="300"/>
      </w:pPr>
      <w:r>
        <w:rPr>
          <w:rFonts w:ascii="Arial" w:hAnsi="Arial" w:eastAsia="Arial" w:cs="Arial"/>
          <w:b/>
          <w:color w:val="AD8749"/>
          <w:sz w:val="22"/>
        </w:rPr>
        <w:t>ПРЕДСТАВИТЕЛЬСКИЙ КОМПЛЕКТ</w:t>
      </w:r>
    </w:p>
    <w:p>
      <w:r>
        <w:drawing>
          <wp:inline xmlns:a="http://schemas.openxmlformats.org/drawingml/2006/main" xmlns:pic="http://schemas.openxmlformats.org/drawingml/2006/picture">
            <wp:extent cx="6263999" cy="2266579"/>
            <wp:docPr id="1" name="Picture 1" descr="Концептуальная иллюстрация «Живое Село»: сельское хозяйство, переработка, общественные пространства и природная среда. Не фотография площадк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ndscap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2665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Концептуальная иллюстрация. Не является изображением утверждённой площадки.</w:t>
      </w:r>
    </w:p>
    <w:p>
      <w:pPr>
        <w:spacing w:after="100"/>
      </w:pPr>
      <w:r>
        <w:rPr>
          <w:rFonts w:ascii="Arial" w:hAnsi="Arial" w:eastAsia="Arial" w:cs="Arial"/>
          <w:b/>
          <w:color w:val="173D32"/>
          <w:sz w:val="40"/>
        </w:rPr>
        <w:t>Биоценоз и точки валидации</w:t>
      </w:r>
    </w:p>
    <w:p>
      <w:pPr>
        <w:spacing w:after="280"/>
      </w:pPr>
      <w:r>
        <w:rPr>
          <w:rFonts w:ascii="Arial" w:hAnsi="Arial" w:eastAsia="Arial" w:cs="Arial"/>
          <w:b w:val="0"/>
          <w:color w:val="263931"/>
          <w:sz w:val="24"/>
        </w:rPr>
        <w:t>Закрытая рабочая сессия кооператива «СПЕЦЗАЩИТА»</w:t>
      </w:r>
    </w:p>
    <w:p>
      <w:pPr>
        <w:spacing w:after="240"/>
      </w:pPr>
      <w:r>
        <w:rPr>
          <w:rFonts w:ascii="Arial" w:hAnsi="Arial" w:eastAsia="Arial" w:cs="Arial"/>
          <w:b w:val="0"/>
          <w:color w:val="263931"/>
          <w:sz w:val="22"/>
        </w:rPr>
        <w:t>К материалам Форума Аграрно-промышленного союза</w:t>
        <w:br/>
        <w:t>«Село России — продовольственная безопасность</w:t>
        <w:br/>
        <w:t>и возрождение промышленности»</w:t>
      </w:r>
    </w:p>
    <w:p>
      <w:pPr>
        <w:spacing w:after="120"/>
      </w:pPr>
      <w:r>
        <w:rPr>
          <w:rFonts w:ascii="Arial" w:hAnsi="Arial" w:eastAsia="Arial" w:cs="Arial"/>
          <w:b/>
          <w:color w:val="173D32"/>
          <w:sz w:val="24"/>
        </w:rPr>
        <w:t>2–3 октября 2026  •  Москва</w:t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Дата и город — по исходным материалам форума. Площадка уточняется.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СТАТУС КОМПЛЕКТА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Программа форума воспроизведена по приложенным материалам. Закрытая сессия СПЕЦЗАЩИТА, модель биоценоза и процедуры валидации — проектные дополнения для согласования.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01  /  КАК ЧИТАТЬ КОМПЛЕКТ</w:t>
      </w:r>
    </w:p>
    <w:p>
      <w:pPr>
        <w:pStyle w:val="Heading1"/>
      </w:pPr>
      <w:r>
        <w:t>От замысла</w:t>
        <w:br/>
        <w:t>к проверяемому результату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Три самостоятельных блока. Единая логика подготовки решений.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ПРОГРАММА ФОРУМА  [И1–И2]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Семь круглых столов, расписание двух дней, категории участников и организационные вопросы сохранены по предоставленным документам. Участие названных организаций не считается подтверждённым.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ПРОЕКТ «ЖИВОЕ СЕЛО»  [П1]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Предлагаемый пилот связывает людей, хозяйства, кооперацию, природную среду и доказательства результата. Масштаб, территория, бюджет и исполнители определяются отдельно.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ЗАКРЫТАЯ СЕССИЯ СПЕЦЗАЩИТА  [П1]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Предлагаемый формат рабочей встречи для обсуждения пилота, распределения задач и проверки готовности. Дата, время, зал, список участников и регламент требуют согласования.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Навигация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1871"/>
        <w:gridCol w:w="6633"/>
        <w:gridCol w:w="1361"/>
      </w:tblGrid>
      <w:tr>
        <w:trPr>
          <w:tblHeader/>
          <w:cantSplit/>
        </w:trPr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Содержание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Страницы</w:t>
            </w:r>
          </w:p>
        </w:tc>
      </w:tr>
      <w:tr>
        <w:trPr>
          <w:cantSplit/>
        </w:trPr>
        <w:tc>
          <w:tcPr>
            <w:tcW w:type="dxa" w:w="187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Форум</w:t>
            </w:r>
          </w:p>
        </w:tc>
        <w:tc>
          <w:tcPr>
            <w:tcW w:type="dxa" w:w="663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Расписание, семь столов, участники</w:t>
            </w:r>
          </w:p>
        </w:tc>
        <w:tc>
          <w:tcPr>
            <w:tcW w:type="dxa" w:w="136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3–8</w:t>
            </w:r>
          </w:p>
        </w:tc>
      </w:tr>
      <w:tr>
        <w:trPr>
          <w:cantSplit/>
        </w:trPr>
        <w:tc>
          <w:tcPr>
            <w:tcW w:type="dxa" w:w="187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Пилот</w:t>
            </w:r>
          </w:p>
        </w:tc>
        <w:tc>
          <w:tcPr>
            <w:tcW w:type="dxa" w:w="663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Архитектура и карта наблюдений</w:t>
            </w:r>
          </w:p>
        </w:tc>
        <w:tc>
          <w:tcPr>
            <w:tcW w:type="dxa" w:w="136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9–10</w:t>
            </w:r>
          </w:p>
        </w:tc>
      </w:tr>
      <w:tr>
        <w:trPr>
          <w:cantSplit/>
        </w:trPr>
        <w:tc>
          <w:tcPr>
            <w:tcW w:type="dxa" w:w="187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Валидация</w:t>
            </w:r>
          </w:p>
        </w:tc>
        <w:tc>
          <w:tcPr>
            <w:tcW w:type="dxa" w:w="663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Проверки и паспорт точки</w:t>
            </w:r>
          </w:p>
        </w:tc>
        <w:tc>
          <w:tcPr>
            <w:tcW w:type="dxa" w:w="136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11–12</w:t>
            </w:r>
          </w:p>
        </w:tc>
      </w:tr>
      <w:tr>
        <w:trPr>
          <w:cantSplit/>
        </w:trPr>
        <w:tc>
          <w:tcPr>
            <w:tcW w:type="dxa" w:w="187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СПЕЦЗАЩИТА</w:t>
            </w:r>
          </w:p>
        </w:tc>
        <w:tc>
          <w:tcPr>
            <w:tcW w:type="dxa" w:w="663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Закрытая сессия, роли и доступ</w:t>
            </w:r>
          </w:p>
        </w:tc>
        <w:tc>
          <w:tcPr>
            <w:tcW w:type="dxa" w:w="136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13–14</w:t>
            </w:r>
          </w:p>
        </w:tc>
      </w:tr>
      <w:tr>
        <w:trPr>
          <w:cantSplit/>
        </w:trPr>
        <w:tc>
          <w:tcPr>
            <w:tcW w:type="dxa" w:w="187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Запуск</w:t>
            </w:r>
          </w:p>
        </w:tc>
        <w:tc>
          <w:tcPr>
            <w:tcW w:type="dxa" w:w="663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Этапы и формы решений</w:t>
            </w:r>
          </w:p>
        </w:tc>
        <w:tc>
          <w:tcPr>
            <w:tcW w:type="dxa" w:w="136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15–16</w:t>
            </w:r>
          </w:p>
        </w:tc>
      </w:tr>
      <w:tr>
        <w:trPr>
          <w:cantSplit/>
        </w:trPr>
        <w:tc>
          <w:tcPr>
            <w:tcW w:type="dxa" w:w="187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Основания</w:t>
            </w:r>
          </w:p>
        </w:tc>
        <w:tc>
          <w:tcPr>
            <w:tcW w:type="dxa" w:w="663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Источники и согласование</w:t>
            </w:r>
          </w:p>
        </w:tc>
        <w:tc>
          <w:tcPr>
            <w:tcW w:type="dxa" w:w="136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17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[И1], [И2] — приложенные источники. [П1] — проектная разработка по запросу пользователя. Новые блоки не включаются в официальную программу автоматически.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02  /  ФОРУМ • ИСХОДНАЯ ПРОГРАММА</w:t>
      </w:r>
    </w:p>
    <w:p>
      <w:pPr>
        <w:pStyle w:val="Heading1"/>
      </w:pPr>
      <w:r>
        <w:t>2 октября 2026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Первый день: семь круглых столов. Расписание по источнику [И2].</w:t>
      </w:r>
    </w:p>
    <w:p>
      <w:r>
        <w:rPr>
          <w:rFonts w:ascii="Arial" w:hAnsi="Arial" w:eastAsia="Arial" w:cs="Arial"/>
          <w:b w:val="0"/>
          <w:sz w:val="20"/>
        </w:rPr>
        <w:t>Задача дня — не общая дискуссия, а доработка предложений до вида, в котором их можно направить ведомствам: что именно изменить, кто решает, сколько стоит, как проверить результат. Каждый стол работает по одной схеме и заканчивается списком согласованных предложений и спорных вопросов, которые передаются в редакционную группу резолюции.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1701"/>
        <w:gridCol w:w="8164"/>
      </w:tblGrid>
      <w:tr>
        <w:trPr>
          <w:tblHeader/>
          <w:cantSplit/>
        </w:trPr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Время</w:t>
            </w:r>
          </w:p>
        </w:tc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2 октября 2026 года</w:t>
            </w:r>
          </w:p>
        </w:tc>
      </w:tr>
      <w:tr>
        <w:trPr>
          <w:cantSplit/>
        </w:trPr>
        <w:tc>
          <w:tcPr>
            <w:tcW w:type="dxa" w:w="170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09:00–10:00</w:t>
            </w:r>
          </w:p>
        </w:tc>
        <w:tc>
          <w:tcPr>
            <w:tcW w:type="dxa" w:w="816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Регистрация участников. Приём письменных предложений и случаев с цифрами</w:t>
            </w:r>
          </w:p>
        </w:tc>
      </w:tr>
      <w:tr>
        <w:trPr>
          <w:cantSplit/>
        </w:trPr>
        <w:tc>
          <w:tcPr>
            <w:tcW w:type="dxa" w:w="170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10:00–10:40</w:t>
            </w:r>
          </w:p>
        </w:tc>
        <w:tc>
          <w:tcPr>
            <w:tcW w:type="dxa" w:w="8164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Открытие форума. Задача двух дней и порядок работы столов. В.А. Мельниченко, председатель ОД «Федеральный Сельсовет»</w:t>
            </w:r>
          </w:p>
        </w:tc>
      </w:tr>
      <w:tr>
        <w:trPr>
          <w:cantSplit/>
        </w:trPr>
        <w:tc>
          <w:tcPr>
            <w:tcW w:type="dxa" w:w="170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10:50–13:10</w:t>
            </w:r>
          </w:p>
        </w:tc>
        <w:tc>
          <w:tcPr>
            <w:tcW w:type="dxa" w:w="816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Сессия I — параллельно столы 1, 2, 3, 4</w:t>
            </w:r>
          </w:p>
        </w:tc>
      </w:tr>
      <w:tr>
        <w:trPr>
          <w:cantSplit/>
        </w:trPr>
        <w:tc>
          <w:tcPr>
            <w:tcW w:type="dxa" w:w="170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13:10–14:10</w:t>
            </w:r>
          </w:p>
        </w:tc>
        <w:tc>
          <w:tcPr>
            <w:tcW w:type="dxa" w:w="8164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Обед. Выставка практик: кооперативы, переработка, техника</w:t>
            </w:r>
          </w:p>
        </w:tc>
      </w:tr>
      <w:tr>
        <w:trPr>
          <w:cantSplit/>
        </w:trPr>
        <w:tc>
          <w:tcPr>
            <w:tcW w:type="dxa" w:w="170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14:10–16:30</w:t>
            </w:r>
          </w:p>
        </w:tc>
        <w:tc>
          <w:tcPr>
            <w:tcW w:type="dxa" w:w="816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Сессия II — параллельно столы 5, 6, 7</w:t>
            </w:r>
          </w:p>
        </w:tc>
      </w:tr>
      <w:tr>
        <w:trPr>
          <w:cantSplit/>
        </w:trPr>
        <w:tc>
          <w:tcPr>
            <w:tcW w:type="dxa" w:w="170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16:40–17:40</w:t>
            </w:r>
          </w:p>
        </w:tc>
        <w:tc>
          <w:tcPr>
            <w:tcW w:type="dxa" w:w="8164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Редакционная группа: модераторы столов сводят согласованные предложения и спорные вопросы в проект резолюции</w:t>
            </w:r>
          </w:p>
        </w:tc>
      </w:tr>
      <w:tr>
        <w:trPr>
          <w:cantSplit/>
        </w:trPr>
        <w:tc>
          <w:tcPr>
            <w:tcW w:type="dxa" w:w="170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17:45–18:30</w:t>
            </w:r>
          </w:p>
        </w:tc>
        <w:tc>
          <w:tcPr>
            <w:tcW w:type="dxa" w:w="816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Итоговое собрание дня: модераторы — по 5 минут о результатах стола; что выносится на 3 октября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Регламент каждого стола</w:t>
      </w:r>
    </w:p>
    <w:p>
      <w:r>
        <w:rPr>
          <w:rFonts w:ascii="Arial" w:hAnsi="Arial" w:eastAsia="Arial" w:cs="Arial"/>
          <w:b w:val="0"/>
          <w:sz w:val="20"/>
        </w:rPr>
        <w:t>Регламент каждого стола (2 ч 20 мин): вступление модератора — 10 мин; выступления участников со случаями и расчётами — по 5–7 мин, до 10 выступлений; позиции представителей органов власти и союзов — 30 мин; согласование формулировок предложений — 30 мин. Выступления без конкретного случая, цифр или предложения модератор не предоставляет.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РЕЗУЛЬТАТ РАБОТЫ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Согласованные предложения и спорные вопросы передаются в редакционную группу резолюции. Новая закрытая сессия не занимает время этих мероприятий без решения оргкомитета.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Источник: [И2], «Как устроен первый день». Последнее предложение в рамке — организационное условие проекта дополнений [П1].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03  /  ФОРУМ • ИСХОДНАЯ ПРОГРАММА</w:t>
      </w:r>
    </w:p>
    <w:p>
      <w:pPr>
        <w:pStyle w:val="Heading1"/>
      </w:pPr>
      <w:r>
        <w:t>3 октября 2026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Второй день. В исходном документе расписание обозначено как проект.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1701"/>
        <w:gridCol w:w="8164"/>
      </w:tblGrid>
      <w:tr>
        <w:trPr>
          <w:tblHeader/>
          <w:cantSplit/>
        </w:trPr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Время</w:t>
            </w:r>
          </w:p>
        </w:tc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3 октября 2026 года — проект</w:t>
            </w:r>
          </w:p>
        </w:tc>
      </w:tr>
      <w:tr>
        <w:trPr>
          <w:cantSplit/>
        </w:trPr>
        <w:tc>
          <w:tcPr>
            <w:tcW w:type="dxa" w:w="170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20"/>
              </w:rPr>
              <w:t>10:00–12:30</w:t>
            </w:r>
          </w:p>
        </w:tc>
        <w:tc>
          <w:tcPr>
            <w:tcW w:type="dxa" w:w="816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Пленарное заседание «Село России: сколько хозяйств нужно стране». Итоги семи столов. Выступления представителей регионов, производителей и органов власти</w:t>
            </w:r>
          </w:p>
        </w:tc>
      </w:tr>
      <w:tr>
        <w:trPr>
          <w:cantSplit/>
        </w:trPr>
        <w:tc>
          <w:tcPr>
            <w:tcW w:type="dxa" w:w="170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20"/>
              </w:rPr>
              <w:t>13:30–15:30</w:t>
            </w:r>
          </w:p>
        </w:tc>
        <w:tc>
          <w:tcPr>
            <w:tcW w:type="dxa" w:w="8164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Рабочая встреча с представителями федеральных органов власти по предложениям проекта резолюции: поддерживается ли, в какой срок выполнимо, какие препятствия</w:t>
            </w:r>
          </w:p>
        </w:tc>
      </w:tr>
      <w:tr>
        <w:trPr>
          <w:cantSplit/>
        </w:trPr>
        <w:tc>
          <w:tcPr>
            <w:tcW w:type="dxa" w:w="170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20"/>
              </w:rPr>
              <w:t>16:00–17:00</w:t>
            </w:r>
          </w:p>
        </w:tc>
        <w:tc>
          <w:tcPr>
            <w:tcW w:type="dxa" w:w="816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Принятие резолюции — обращения к Правительству Российской Федерации. Порядок публикации ответов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Организационные решения из программы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Модераторы семи столов — по одному на стол, желательно практик и эксперт в паре.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Залы: три–четыре параллельных помещения на 30–60 человек.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Кого из федеральных органов приглашаем на какой стол — письма нужно направить до 22 сентября.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Партнёры Движения — производители техники: кого звать на стол 4 и кто готов показать технику на выставке практик.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Нужен ли стол 5 в нынешнем виде или его предложения переносятся на столы 1 и 3.</w:t>
      </w:r>
    </w:p>
    <w:p>
      <w:pPr>
        <w:pStyle w:val="Heading2"/>
      </w:pPr>
      <w:r>
        <w:t>Контрольные даты из исходных материалов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1814"/>
        <w:gridCol w:w="8050"/>
      </w:tblGrid>
      <w:tr>
        <w:trPr>
          <w:tblHeader/>
          <w:cantSplit/>
        </w:trPr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Срок</w:t>
            </w:r>
          </w:p>
        </w:tc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Действие</w:t>
            </w:r>
          </w:p>
        </w:tc>
      </w:tr>
      <w:tr>
        <w:trPr>
          <w:cantSplit/>
        </w:trPr>
        <w:tc>
          <w:tcPr>
            <w:tcW w:type="dxa" w:w="181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До 22 сентября</w:t>
            </w:r>
          </w:p>
        </w:tc>
        <w:tc>
          <w:tcPr>
            <w:tcW w:type="dxa" w:w="8050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Направить приглашения представителям федеральных органов по столам [И2].</w:t>
            </w:r>
          </w:p>
        </w:tc>
      </w:tr>
      <w:tr>
        <w:trPr>
          <w:cantSplit/>
        </w:trPr>
        <w:tc>
          <w:tcPr>
            <w:tcW w:type="dxa" w:w="1814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До 25 сентября</w:t>
            </w:r>
          </w:p>
        </w:tc>
        <w:tc>
          <w:tcPr>
            <w:tcW w:type="dxa" w:w="8050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Получить данные участника от региона / органа управления АПК [И1].</w:t>
            </w:r>
          </w:p>
        </w:tc>
      </w:tr>
      <w:tr>
        <w:trPr>
          <w:cantSplit/>
        </w:trPr>
        <w:tc>
          <w:tcPr>
            <w:tcW w:type="dxa" w:w="181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К 30 сентября</w:t>
            </w:r>
          </w:p>
        </w:tc>
        <w:tc>
          <w:tcPr>
            <w:tcW w:type="dxa" w:w="8050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Подготовить сводку потребности участников в технике для стола 4 [И2].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r>
        <w:rPr>
          <w:rFonts w:ascii="Arial" w:hAnsi="Arial" w:eastAsia="Arial" w:cs="Arial"/>
          <w:b w:val="0"/>
          <w:sz w:val="19"/>
        </w:rPr>
        <w:t>Контакт оргкомитета по исходному приглашению: fed.sel-sovet@yandex.ru. Тема письма: «Форум 2–3 октября». Площадка, телефон и координатор в исходнике не заполнены.</w:t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Источники: [И1–И2]. Сроки приведены как содержание приложенных документов, а не как подтверждение исполнения.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04  /  СЕМЬ КРУГЛЫХ СТОЛОВ</w:t>
      </w:r>
    </w:p>
    <w:p>
      <w:pPr>
        <w:pStyle w:val="Heading1"/>
      </w:pPr>
      <w:r>
        <w:t>Темы и участники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Сессия I • 10:50–13:10 • по источнику [И2]</w:t>
      </w:r>
    </w:p>
    <w:p>
      <w:pPr>
        <w:pStyle w:val="Heading2"/>
      </w:pPr>
      <w:r>
        <w:t>Стол 1. Цена урожая и доход хозяйства</w:t>
      </w:r>
    </w:p>
    <w:p>
      <w:pPr>
        <w:spacing w:after="120"/>
      </w:pPr>
      <w:r>
        <w:rPr>
          <w:rFonts w:ascii="Arial" w:hAnsi="Arial" w:eastAsia="Arial" w:cs="Arial"/>
          <w:b w:val="0"/>
          <w:color w:val="AD8749"/>
          <w:sz w:val="17"/>
        </w:rPr>
        <w:t>Сессия I · зал [ ] · модератор [ ] · Проект резолюции: п. 2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Минимальные закупочные цены по регионам: как считать себестоимость и какую надбавку закладывать.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Закупочные интервенции: объём, сроки, приём небольших партий, кредит под складское свидетельство.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Хранение и сбыт в сезон, когда экспорт ограничен: что сделать до следующего урожая.</w:t>
      </w:r>
    </w:p>
    <w:p>
      <w:pPr>
        <w:spacing w:after="140"/>
      </w:pPr>
      <w:r>
        <w:rPr>
          <w:rFonts w:ascii="Arial" w:hAnsi="Arial" w:eastAsia="Arial" w:cs="Arial"/>
          <w:b w:val="0"/>
          <w:color w:val="66716A"/>
          <w:sz w:val="18"/>
        </w:rPr>
        <w:t>Участники: фермеры и сельхозорганизации зернового и масличного направления из южных и центральных регионов; элеваторы и операторы хранения; представители региональных органов управления АПК; объединённая зерновая компания и союзы экспортёров зерна (по приглашению); Минсельхоз России (по приглашению); экономисты-аграрники.</w:t>
      </w:r>
    </w:p>
    <w:p>
      <w:pPr>
        <w:pStyle w:val="Heading2"/>
      </w:pPr>
      <w:r>
        <w:t>Стол 2. Кредиты, лизинг и издержки сезона</w:t>
      </w:r>
    </w:p>
    <w:p>
      <w:pPr>
        <w:spacing w:after="120"/>
      </w:pPr>
      <w:r>
        <w:rPr>
          <w:rFonts w:ascii="Arial" w:hAnsi="Arial" w:eastAsia="Arial" w:cs="Arial"/>
          <w:b w:val="0"/>
          <w:color w:val="AD8749"/>
          <w:sz w:val="17"/>
        </w:rPr>
        <w:t>Сессия I · зал [ ] · модератор [ ] · Проект резолюции: пп. 3, 4, 5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Кредитные каникулы и временная защита от банкротства для хозяйств, продающих ниже себестоимости, в том числе с 2022 года.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Отсрочка платежей по действующим договорам Росагролизинга: условия и опыт 2020 года.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Топливо и другие издержки: цена на время сезонных работ, порядок для хозяйств до 1000 га.</w:t>
      </w:r>
    </w:p>
    <w:p>
      <w:pPr>
        <w:spacing w:after="140"/>
      </w:pPr>
      <w:r>
        <w:rPr>
          <w:rFonts w:ascii="Arial" w:hAnsi="Arial" w:eastAsia="Arial" w:cs="Arial"/>
          <w:b w:val="0"/>
          <w:color w:val="66716A"/>
          <w:sz w:val="18"/>
        </w:rPr>
        <w:t>Участники: хозяйства с просроченной или реструктурированной задолженностью (с их согласия); АО «Росагролизинг» и Россельхозбанк (по приглашению); кредитные кооперативы; Минсельхоз России, Банк России, Минэнерго России (по приглашению); финансовые и антикризисные юристы; региональные органы АПК.</w:t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Наименования столов, темы и состав приглашённых категорий — по [И2]. Ссылки на пункты резолюции сохранены; сам проект резолюции в этом комплекте исходников отсутствует.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05  /  СЕМЬ КРУГЛЫХ СТОЛОВ</w:t>
      </w:r>
    </w:p>
    <w:p>
      <w:pPr>
        <w:pStyle w:val="Heading1"/>
      </w:pPr>
      <w:r>
        <w:t>Темы и участники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Сессия I • 10:50–13:10 • по источнику [И2]</w:t>
      </w:r>
    </w:p>
    <w:p>
      <w:pPr>
        <w:pStyle w:val="Heading2"/>
      </w:pPr>
      <w:r>
        <w:t>Стол 3. Кооперация и совместный экспорт</w:t>
      </w:r>
    </w:p>
    <w:p>
      <w:pPr>
        <w:spacing w:after="120"/>
      </w:pPr>
      <w:r>
        <w:rPr>
          <w:rFonts w:ascii="Arial" w:hAnsi="Arial" w:eastAsia="Arial" w:cs="Arial"/>
          <w:b w:val="0"/>
          <w:color w:val="AD8749"/>
          <w:sz w:val="17"/>
        </w:rPr>
        <w:t>Сессия I · зал [ ] · модератор [ ] · Проект резолюции: пп. 6, 7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Единая цена продажи в сельскохозяйственном потребительском кооперативе: где граница законной работы и сговора.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Общая производственно-экспортная организация Федерального Сельсовета, АККОР и потребкооперации: закупка по прозрачной цене и вложение выручки в переработку.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Доступ малых хозяйств и кооперативов к экспортной квоте.</w:t>
      </w:r>
    </w:p>
    <w:p>
      <w:pPr>
        <w:spacing w:after="140"/>
      </w:pPr>
      <w:r>
        <w:rPr>
          <w:rFonts w:ascii="Arial" w:hAnsi="Arial" w:eastAsia="Arial" w:cs="Arial"/>
          <w:b w:val="0"/>
          <w:color w:val="66716A"/>
          <w:sz w:val="18"/>
        </w:rPr>
        <w:t>Участники: действующие сбытовые и перерабатывающие кооперативы; АККОР; Центросоюз и региональные союзы потребкооперации; малые экспортёры и трейдеры, работающие с малыми хозяйствами; ФАС России и Минсельхоз России (по приглашению); юристы по кооперации и конкурентному праву; центры компетенций в сфере сельхозкооперации.</w:t>
      </w:r>
    </w:p>
    <w:p>
      <w:pPr>
        <w:pStyle w:val="Heading2"/>
      </w:pPr>
      <w:r>
        <w:t>Стол 4. Общий заказ на отечественную технику</w:t>
      </w:r>
    </w:p>
    <w:p>
      <w:pPr>
        <w:spacing w:after="120"/>
      </w:pPr>
      <w:r>
        <w:rPr>
          <w:rFonts w:ascii="Arial" w:hAnsi="Arial" w:eastAsia="Arial" w:cs="Arial"/>
          <w:b w:val="0"/>
          <w:color w:val="AD8749"/>
          <w:sz w:val="17"/>
        </w:rPr>
        <w:t>Сессия I · зал [ ] · модератор [ ] · Проект резолюции: п. 8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Какая техника нужна малым и средним хозяйствам и что мешает её купить: ставка, лизинг, сервис, цена новой и подержанной.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Совместные закупки через кооперативы: как собрать заказ регионов в объём, интересный заводу.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Условия господдержки, при которых отечественная техника доступна хозяйству, а не только крупному покупателю.</w:t>
      </w:r>
    </w:p>
    <w:p>
      <w:pPr>
        <w:spacing w:after="140"/>
      </w:pPr>
      <w:r>
        <w:rPr>
          <w:rFonts w:ascii="Arial" w:hAnsi="Arial" w:eastAsia="Arial" w:cs="Arial"/>
          <w:b w:val="0"/>
          <w:color w:val="66716A"/>
          <w:sz w:val="18"/>
        </w:rPr>
        <w:t>Участники: производители сельхозтехники и комплектующих (в том числе партнёры Движения); дилеры и сервисные центры; хозяйства — покупатели техники разного размера; лизинговые компании; Минпромторг России и Минсельхоз России (по приглашению); отраслевые союзы машиностроителей; региональные органы АПК с программами обновления парка.</w:t>
      </w:r>
    </w:p>
    <w:p>
      <w:pPr>
        <w:spacing w:after="120"/>
      </w:pPr>
      <w:r>
        <w:rPr>
          <w:rFonts w:ascii="Arial" w:hAnsi="Arial" w:eastAsia="Arial" w:cs="Arial"/>
          <w:b w:val="0"/>
          <w:color w:val="66716A"/>
          <w:sz w:val="18"/>
        </w:rPr>
        <w:t>Опорные данные для стола — сведения о технике из заявок участников: что есть, что нужно, почему не покупают. Без этих данных стол не имеет смысла для производителей; сводка готовится к 30 сентября.</w:t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Наименования столов, темы и состав приглашённых категорий — по [И2]. Ссылки на пункты резолюции сохранены; сам проект резолюции в этом комплекте исходников отсутствует.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06  /  СЕМЬ КРУГЛЫХ СТОЛОВ</w:t>
      </w:r>
    </w:p>
    <w:p>
      <w:pPr>
        <w:pStyle w:val="Heading1"/>
      </w:pPr>
      <w:r>
        <w:t>Темы и участники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Сессия II • 14:10–16:30 • по источнику [И2]</w:t>
      </w:r>
    </w:p>
    <w:p>
      <w:pPr>
        <w:pStyle w:val="Heading2"/>
      </w:pPr>
      <w:r>
        <w:t>Стол 5. Переработка и продовольственная безопасность</w:t>
      </w:r>
    </w:p>
    <w:p>
      <w:pPr>
        <w:spacing w:after="120"/>
      </w:pPr>
      <w:r>
        <w:rPr>
          <w:rFonts w:ascii="Arial" w:hAnsi="Arial" w:eastAsia="Arial" w:cs="Arial"/>
          <w:b w:val="0"/>
          <w:color w:val="AD8749"/>
          <w:sz w:val="17"/>
        </w:rPr>
        <w:t>Сессия II · зал [ ] · модератор [ ] · Проект резолюции: п. 12 и предложения для доработки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Глубокая переработка зерна и масличных рядом с местом производства: что мешает малым и кооперативным проектам.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Качество и происхождение продукции: как покупателю узнать, что он ест, а честному производителю — получить за это цену.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Хранение и обработка зерна: порядок допуска новых методов обеззараживания.</w:t>
      </w:r>
    </w:p>
    <w:p>
      <w:pPr>
        <w:spacing w:after="140"/>
      </w:pPr>
      <w:r>
        <w:rPr>
          <w:rFonts w:ascii="Arial" w:hAnsi="Arial" w:eastAsia="Arial" w:cs="Arial"/>
          <w:b w:val="0"/>
          <w:color w:val="66716A"/>
          <w:sz w:val="18"/>
        </w:rPr>
        <w:t>Участники: малые и средние переработчики (мука, крупа, масло, молоко, мясо); кооперативы с собственной переработкой; фермерские рынки и торговые сети (по приглашению); Россельхознадзор и Минсельхоз России (по приглашению); научные организации в области хранения и переработки; объединения потребителей.</w:t>
      </w:r>
    </w:p>
    <w:p>
      <w:pPr>
        <w:pStyle w:val="Heading2"/>
      </w:pPr>
      <w:r>
        <w:t>Стол 6. Понятные правила работы на земле</w:t>
      </w:r>
    </w:p>
    <w:p>
      <w:pPr>
        <w:spacing w:after="120"/>
      </w:pPr>
      <w:r>
        <w:rPr>
          <w:rFonts w:ascii="Arial" w:hAnsi="Arial" w:eastAsia="Arial" w:cs="Arial"/>
          <w:b w:val="0"/>
          <w:color w:val="AD8749"/>
          <w:sz w:val="17"/>
        </w:rPr>
        <w:t>Сессия II · зал [ ] · модератор [ ] · Проект резолюции: пп. 9, 10, 11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Жильё для членов сельскохозяйственного кооператива на его земле: условия поправки к статье 77 Земельного кодекса.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Расчёт экологического вреда на охраняемых территориях, когда нормы нагрузки не установлены. Разбор дела на 55,5 млн рублей.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19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19"/>
        </w:rPr>
        <w:t>Учёт и маркировка животных в небольших хозяйствах: порог поголовья и упрощения.</w:t>
      </w:r>
    </w:p>
    <w:p>
      <w:pPr>
        <w:spacing w:after="140"/>
      </w:pPr>
      <w:r>
        <w:rPr>
          <w:rFonts w:ascii="Arial" w:hAnsi="Arial" w:eastAsia="Arial" w:cs="Arial"/>
          <w:b w:val="0"/>
          <w:color w:val="66716A"/>
          <w:sz w:val="18"/>
        </w:rPr>
        <w:t>Участники: фермеры и личные подсобные хозяйства, столкнувшиеся с проверками и взысканиями; юристы по земельному и экологическому праву; Минсельхоз России, Минприроды России, Россельхознадзор (по приглашению); депутаты и сотрудники профильных комитетов Государственной Думы и Совета Федерации (по приглашению); уполномоченные по защите прав предпринимателей; региональные ветеринарные службы.</w:t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Наименования столов, темы и состав приглашённых категорий — по [И2]. Ссылки на пункты резолюции сохранены; сам проект резолюции в этом комплекте исходников отсутствует.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07  /  СЕМЬ КРУГЛЫХ СТОЛОВ</w:t>
      </w:r>
    </w:p>
    <w:p>
      <w:pPr>
        <w:pStyle w:val="Heading1"/>
      </w:pPr>
      <w:r>
        <w:t>Территории и люди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Сессия II • 14:10–16:30 • по источнику [И2]</w:t>
      </w:r>
    </w:p>
    <w:p>
      <w:pPr>
        <w:pStyle w:val="Heading2"/>
      </w:pPr>
      <w:r>
        <w:t>Стол 7. Сельские территории и люди</w:t>
      </w:r>
    </w:p>
    <w:p>
      <w:pPr>
        <w:spacing w:after="120"/>
      </w:pPr>
      <w:r>
        <w:rPr>
          <w:rFonts w:ascii="Arial" w:hAnsi="Arial" w:eastAsia="Arial" w:cs="Arial"/>
          <w:b w:val="0"/>
          <w:color w:val="AD8749"/>
          <w:sz w:val="17"/>
        </w:rPr>
        <w:t>Сессия II · зал [ ] · модератор [ ] · Проект резолюции: п. 1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Сколько хозяйств нужно территории, чтобы она жила: какие показатели ввести в государственную программу наряду с объёмом производства.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Кадры для села: как практическая подготовка на предприятии становится работой в хозяйстве.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Местное самоуправление и сельская инфраструктура: что меняется, когда закрываются хозяйства.</w:t>
      </w:r>
    </w:p>
    <w:p>
      <w:pPr>
        <w:spacing w:after="140"/>
      </w:pPr>
      <w:r>
        <w:rPr>
          <w:rFonts w:ascii="Arial" w:hAnsi="Arial" w:eastAsia="Arial" w:cs="Arial"/>
          <w:b w:val="0"/>
          <w:color w:val="66716A"/>
          <w:sz w:val="18"/>
        </w:rPr>
        <w:t>Участники: главы сельских поселений и муниципальных районов; региональные органы АПК и развития сельских территорий; колледжи и аграрные вузы; работодатели АПК; Росстат и Минсельхоз России (по приглашению); демографы, экономисты, исследователи сельских территорий; общественные объединения сельских жителей.</w:t>
      </w:r>
    </w:p>
    <w:p>
      <w:pPr>
        <w:pStyle w:val="Heading2"/>
      </w:pPr>
      <w:r>
        <w:t>Кого приглашаем: сводка по категориям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5896"/>
        <w:gridCol w:w="992"/>
        <w:gridCol w:w="992"/>
        <w:gridCol w:w="992"/>
        <w:gridCol w:w="992"/>
      </w:tblGrid>
      <w:tr>
        <w:trPr>
          <w:tblHeader/>
          <w:cantSplit/>
        </w:trPr>
        <w:tc>
          <w:tcPr>
            <w:tcW w:type="dxa" w:w="197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6"/>
              </w:rPr>
              <w:t>Категория</w:t>
            </w:r>
          </w:p>
        </w:tc>
        <w:tc>
          <w:tcPr>
            <w:tcW w:type="dxa" w:w="197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6"/>
              </w:rPr>
              <w:t>1–2</w:t>
            </w:r>
          </w:p>
        </w:tc>
        <w:tc>
          <w:tcPr>
            <w:tcW w:type="dxa" w:w="197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6"/>
              </w:rPr>
              <w:t>3–4</w:t>
            </w:r>
          </w:p>
        </w:tc>
        <w:tc>
          <w:tcPr>
            <w:tcW w:type="dxa" w:w="197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6"/>
              </w:rPr>
              <w:t>5–6</w:t>
            </w:r>
          </w:p>
        </w:tc>
        <w:tc>
          <w:tcPr>
            <w:tcW w:type="dxa" w:w="197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6"/>
              </w:rPr>
              <w:t>7</w:t>
            </w:r>
          </w:p>
        </w:tc>
      </w:tr>
      <w:tr>
        <w:trPr>
          <w:cantSplit/>
        </w:trPr>
        <w:tc>
          <w:tcPr>
            <w:tcW w:type="dxa" w:w="5896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Фермеры, КФХ, ЛПХ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</w:tr>
      <w:tr>
        <w:trPr>
          <w:cantSplit/>
        </w:trPr>
        <w:tc>
          <w:tcPr>
            <w:tcW w:type="dxa" w:w="5896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Сельхозорганизации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</w:tr>
      <w:tr>
        <w:trPr>
          <w:cantSplit/>
        </w:trPr>
        <w:tc>
          <w:tcPr>
            <w:tcW w:type="dxa" w:w="5896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Кооперативы, потребкооперация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</w:tr>
      <w:tr>
        <w:trPr>
          <w:cantSplit/>
        </w:trPr>
        <w:tc>
          <w:tcPr>
            <w:tcW w:type="dxa" w:w="5896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Переработчики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</w:tr>
      <w:tr>
        <w:trPr>
          <w:cantSplit/>
        </w:trPr>
        <w:tc>
          <w:tcPr>
            <w:tcW w:type="dxa" w:w="5896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Производители техники, дилеры, сервис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</w:tr>
      <w:tr>
        <w:trPr>
          <w:cantSplit/>
        </w:trPr>
        <w:tc>
          <w:tcPr>
            <w:tcW w:type="dxa" w:w="5896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Банки, лизинг, страхование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</w:tr>
      <w:tr>
        <w:trPr>
          <w:cantSplit/>
        </w:trPr>
        <w:tc>
          <w:tcPr>
            <w:tcW w:type="dxa" w:w="5896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Экспортёры, операторы хранения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</w:tr>
      <w:tr>
        <w:trPr>
          <w:cantSplit/>
        </w:trPr>
        <w:tc>
          <w:tcPr>
            <w:tcW w:type="dxa" w:w="5896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Федеральные органы власти (по приглашению)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</w:tr>
      <w:tr>
        <w:trPr>
          <w:cantSplit/>
        </w:trPr>
        <w:tc>
          <w:tcPr>
            <w:tcW w:type="dxa" w:w="5896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Региональные органы АПК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</w:tr>
      <w:tr>
        <w:trPr>
          <w:cantSplit/>
        </w:trPr>
        <w:tc>
          <w:tcPr>
            <w:tcW w:type="dxa" w:w="5896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Муниципалитеты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</w:tr>
      <w:tr>
        <w:trPr>
          <w:cantSplit/>
        </w:trPr>
        <w:tc>
          <w:tcPr>
            <w:tcW w:type="dxa" w:w="5896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Депутаты, уполномоченные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</w:tr>
      <w:tr>
        <w:trPr>
          <w:cantSplit/>
        </w:trPr>
        <w:tc>
          <w:tcPr>
            <w:tcW w:type="dxa" w:w="5896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Эксперты, юристы, наука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</w:tr>
      <w:tr>
        <w:trPr>
          <w:cantSplit/>
        </w:trPr>
        <w:tc>
          <w:tcPr>
            <w:tcW w:type="dxa" w:w="5896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6"/>
              </w:rPr>
              <w:t>Отраслевые союзы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  <w:t>●</w:t>
            </w:r>
          </w:p>
        </w:tc>
        <w:tc>
          <w:tcPr>
            <w:tcW w:type="dxa" w:w="99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6"/>
              </w:rPr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Источник: [И2]. Номер в шапке — номер стола; отметка — категория приглашённых, а не подтверждённое участие.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08  /  ПРОЕКТНОЕ ДОПОЛНЕНИЕ [П1]</w:t>
      </w:r>
    </w:p>
    <w:p>
      <w:pPr>
        <w:pStyle w:val="Heading1"/>
      </w:pPr>
      <w:r>
        <w:t>Архитектура</w:t>
        <w:br/>
        <w:t>«Живого Села»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Предлагаемая модель пилотной территории, а не утверждённая программа.</w:t>
      </w:r>
    </w:p>
    <w:p>
      <w:r>
        <w:rPr>
          <w:rFonts w:ascii="Arial" w:hAnsi="Arial" w:eastAsia="Arial" w:cs="Arial"/>
          <w:b w:val="0"/>
          <w:sz w:val="22"/>
        </w:rPr>
        <w:t>Смысл пилота — собрать на одной территории понятный маршрут: потребность семьи и хозяйства → совместная работа → инфраструктура и производство → наблюдения → проверенный результат. Каждое направление получает ответственного, исходное состояние и документируемый выход.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1984"/>
        <w:gridCol w:w="4025"/>
        <w:gridCol w:w="3855"/>
      </w:tblGrid>
      <w:tr>
        <w:trPr>
          <w:tblHeader/>
          <w:cantSplit/>
        </w:trPr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Блок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Что проектируется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Какой документ нужен</w:t>
            </w:r>
          </w:p>
        </w:tc>
      </w:tr>
      <w:tr>
        <w:trPr>
          <w:cantSplit/>
        </w:trPr>
        <w:tc>
          <w:tcPr>
            <w:tcW w:type="dxa" w:w="198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20"/>
              </w:rPr>
              <w:t>Человек и семья</w:t>
            </w:r>
          </w:p>
        </w:tc>
        <w:tc>
          <w:tcPr>
            <w:tcW w:type="dxa" w:w="402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Участие жителей, труд, обучение и доступ к услугам.</w:t>
            </w:r>
          </w:p>
        </w:tc>
        <w:tc>
          <w:tcPr>
            <w:tcW w:type="dxa" w:w="385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Карта потребностей и согласованная роль участника.</w:t>
            </w:r>
          </w:p>
        </w:tc>
      </w:tr>
      <w:tr>
        <w:trPr>
          <w:cantSplit/>
        </w:trPr>
        <w:tc>
          <w:tcPr>
            <w:tcW w:type="dxa" w:w="1984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20"/>
              </w:rPr>
              <w:t>Хозяйство</w:t>
            </w:r>
          </w:p>
        </w:tc>
        <w:tc>
          <w:tcPr>
            <w:tcW w:type="dxa" w:w="4025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Производство, хранение, переработка и обращение с побочными потоками.</w:t>
            </w:r>
          </w:p>
        </w:tc>
        <w:tc>
          <w:tcPr>
            <w:tcW w:type="dxa" w:w="3855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Паспорт производственной цепочки.</w:t>
            </w:r>
          </w:p>
        </w:tc>
      </w:tr>
      <w:tr>
        <w:trPr>
          <w:cantSplit/>
        </w:trPr>
        <w:tc>
          <w:tcPr>
            <w:tcW w:type="dxa" w:w="198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20"/>
              </w:rPr>
              <w:t>Кооперация</w:t>
            </w:r>
          </w:p>
        </w:tc>
        <w:tc>
          <w:tcPr>
            <w:tcW w:type="dxa" w:w="402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Общие услуги, закупки, техника, переработка и сбыт.</w:t>
            </w:r>
          </w:p>
        </w:tc>
        <w:tc>
          <w:tcPr>
            <w:tcW w:type="dxa" w:w="385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Схема договорённостей и распределения задач.</w:t>
            </w:r>
          </w:p>
        </w:tc>
      </w:tr>
      <w:tr>
        <w:trPr>
          <w:cantSplit/>
        </w:trPr>
        <w:tc>
          <w:tcPr>
            <w:tcW w:type="dxa" w:w="1984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20"/>
              </w:rPr>
              <w:t>Природная среда</w:t>
            </w:r>
          </w:p>
        </w:tc>
        <w:tc>
          <w:tcPr>
            <w:tcW w:type="dxa" w:w="4025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Почва, вода, растительность, животные и микробные сообщества.</w:t>
            </w:r>
          </w:p>
        </w:tc>
        <w:tc>
          <w:tcPr>
            <w:tcW w:type="dxa" w:w="3855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Карта наблюдений и программа измерений.</w:t>
            </w:r>
          </w:p>
        </w:tc>
      </w:tr>
      <w:tr>
        <w:trPr>
          <w:cantSplit/>
        </w:trPr>
        <w:tc>
          <w:tcPr>
            <w:tcW w:type="dxa" w:w="1984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20"/>
              </w:rPr>
              <w:t>Проверка результата</w:t>
            </w:r>
          </w:p>
        </w:tc>
        <w:tc>
          <w:tcPr>
            <w:tcW w:type="dxa" w:w="402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Данные, образцы, протоколы, повторные наблюдения.</w:t>
            </w:r>
          </w:p>
        </w:tc>
        <w:tc>
          <w:tcPr>
            <w:tcW w:type="dxa" w:w="385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Паспорт точки и заключение проверяющего.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Биоферма полного цикла</w:t>
      </w:r>
    </w:p>
    <w:p>
      <w:r>
        <w:rPr>
          <w:rFonts w:ascii="Arial" w:hAnsi="Arial" w:eastAsia="Arial" w:cs="Arial"/>
          <w:b w:val="0"/>
          <w:sz w:val="21"/>
        </w:rPr>
        <w:t>В этом проекте «полный цикл» — рамка для учёта связей между выращиванием, животноводством при его наличии, хранением, переработкой и обращением с остаточными потоками. Конкретная конфигурация выбирается по данным площадки; замкнутость, безопасность и экономическая результативность заранее не заявляются.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ГРАНИЦА ПИЛОТА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До начала работ фиксируются территория, права доступа, исходные данные, перечень работ и исключения. Наличие концепции не подтверждает наличие земли, финансирования, оборудования или разрешений.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09  /  ПРОЕКТНОЕ ДОПОЛНЕНИЕ [П1]</w:t>
      </w:r>
    </w:p>
    <w:p>
      <w:pPr>
        <w:pStyle w:val="Heading1"/>
      </w:pPr>
      <w:r>
        <w:t>Биоценоз</w:t>
        <w:br/>
        <w:t>и карта наблюдений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Наблюдаем живые сообщества и отдельно описываем условия их среды.</w:t>
      </w:r>
    </w:p>
    <w:p>
      <w:r>
        <w:rPr>
          <w:rFonts w:ascii="Arial" w:hAnsi="Arial" w:eastAsia="Arial" w:cs="Arial"/>
          <w:b w:val="0"/>
          <w:sz w:val="21"/>
        </w:rPr>
        <w:t>В предлагаемой карте выделяются растительные, животные и микробные сообщества, а также почвенные и водные условия. Кооператив и хозяйство рассматриваются отдельно — как участники организации работ, а не как биологические объекты. Состав наблюдений определяет профильный специалист для конкретной площадки.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1191"/>
        <w:gridCol w:w="2891"/>
        <w:gridCol w:w="5783"/>
      </w:tblGrid>
      <w:tr>
        <w:trPr>
          <w:tblHeader/>
          <w:cantSplit/>
        </w:trPr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Код места*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Объект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Что фиксируем в плане</w:t>
            </w:r>
          </w:p>
        </w:tc>
      </w:tr>
      <w:tr>
        <w:trPr>
          <w:cantSplit/>
        </w:trPr>
        <w:tc>
          <w:tcPr>
            <w:tcW w:type="dxa" w:w="119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Н-01</w:t>
            </w:r>
          </w:p>
        </w:tc>
        <w:tc>
          <w:tcPr>
            <w:tcW w:type="dxa" w:w="289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Полевой участок / почва</w:t>
            </w:r>
          </w:p>
        </w:tc>
        <w:tc>
          <w:tcPr>
            <w:tcW w:type="dxa" w:w="578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Границы, глубина и схема отбора; показатели и методы выбираются до измерений.</w:t>
            </w:r>
          </w:p>
        </w:tc>
      </w:tr>
      <w:tr>
        <w:trPr>
          <w:cantSplit/>
        </w:trPr>
        <w:tc>
          <w:tcPr>
            <w:tcW w:type="dxa" w:w="119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Н-02</w:t>
            </w:r>
          </w:p>
        </w:tc>
        <w:tc>
          <w:tcPr>
            <w:tcW w:type="dxa" w:w="289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Водный объект / источник</w:t>
            </w:r>
          </w:p>
        </w:tc>
        <w:tc>
          <w:tcPr>
            <w:tcW w:type="dxa" w:w="578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Место и время отбора, назначение воды, условия и способ исследования.</w:t>
            </w:r>
          </w:p>
        </w:tc>
      </w:tr>
      <w:tr>
        <w:trPr>
          <w:cantSplit/>
        </w:trPr>
        <w:tc>
          <w:tcPr>
            <w:tcW w:type="dxa" w:w="119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Н-03</w:t>
            </w:r>
          </w:p>
        </w:tc>
        <w:tc>
          <w:tcPr>
            <w:tcW w:type="dxa" w:w="289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Растительное сообщество</w:t>
            </w:r>
          </w:p>
        </w:tc>
        <w:tc>
          <w:tcPr>
            <w:tcW w:type="dxa" w:w="578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Постоянный маршрут или площадка; перечень наблюдений и сезон сопоставления.</w:t>
            </w:r>
          </w:p>
        </w:tc>
      </w:tr>
      <w:tr>
        <w:trPr>
          <w:cantSplit/>
        </w:trPr>
        <w:tc>
          <w:tcPr>
            <w:tcW w:type="dxa" w:w="119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Н-04</w:t>
            </w:r>
          </w:p>
        </w:tc>
        <w:tc>
          <w:tcPr>
            <w:tcW w:type="dxa" w:w="289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Животные и иные группы</w:t>
            </w:r>
          </w:p>
        </w:tc>
        <w:tc>
          <w:tcPr>
            <w:tcW w:type="dxa" w:w="578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Перечень наблюдаемых групп; метод, период и ограничения доступа.</w:t>
            </w:r>
          </w:p>
        </w:tc>
      </w:tr>
      <w:tr>
        <w:trPr>
          <w:cantSplit/>
        </w:trPr>
        <w:tc>
          <w:tcPr>
            <w:tcW w:type="dxa" w:w="119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Н-05</w:t>
            </w:r>
          </w:p>
        </w:tc>
        <w:tc>
          <w:tcPr>
            <w:tcW w:type="dxa" w:w="289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Микробные сообщества</w:t>
            </w:r>
          </w:p>
        </w:tc>
        <w:tc>
          <w:tcPr>
            <w:tcW w:type="dxa" w:w="578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Обоснование необходимости исследования; методика и компетенция исполнителя.</w:t>
            </w:r>
          </w:p>
        </w:tc>
      </w:tr>
      <w:tr>
        <w:trPr>
          <w:cantSplit/>
        </w:trPr>
        <w:tc>
          <w:tcPr>
            <w:tcW w:type="dxa" w:w="119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Н-06</w:t>
            </w:r>
          </w:p>
        </w:tc>
        <w:tc>
          <w:tcPr>
            <w:tcW w:type="dxa" w:w="289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Участок сопоставления</w:t>
            </w:r>
          </w:p>
        </w:tc>
        <w:tc>
          <w:tcPr>
            <w:tcW w:type="dxa" w:w="578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Обоснование сравнимости; тот же протокол и согласованный период наблюдений.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* Условные проектные коды, не существующие пункты мониторинга. Координаты и фактические показатели не заданы.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ДВА РАЗНЫХ ВОПРОСА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Точка наблюдения отвечает: «где и что измеряем?». Точка валидации отвечает: «какое доказательство проверяем и кто вправе принять результат?».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База для сравнения</w:t>
      </w:r>
    </w:p>
    <w:p>
      <w:r>
        <w:rPr>
          <w:rFonts w:ascii="Arial" w:hAnsi="Arial" w:eastAsia="Arial" w:cs="Arial"/>
          <w:b w:val="0"/>
          <w:sz w:val="21"/>
        </w:rPr>
        <w:t>До вмешательства фиксируется исходное состояние. Последующие наблюдения сопоставляются только в пределах выбранной методики с учётом сезона, условий отбора и ограничений данных. По одиночному наблюдению не делается автоматический вывод об эффекте проекта.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10  /  ПРОЕКТНОЕ ДОПОЛНЕНИЕ [П1]</w:t>
      </w:r>
    </w:p>
    <w:p>
      <w:pPr>
        <w:pStyle w:val="Heading1"/>
      </w:pPr>
      <w:r>
        <w:t>Пять точек</w:t>
        <w:br/>
        <w:t>валидации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Проект процедуры контроля доказательств. Не схема сертификации.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1871"/>
        <w:gridCol w:w="3997"/>
        <w:gridCol w:w="3997"/>
      </w:tblGrid>
      <w:tr>
        <w:trPr>
          <w:tblHeader/>
          <w:cantSplit/>
        </w:trPr>
        <w:tc>
          <w:tcPr>
            <w:tcW w:type="dxa" w:w="1871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Этап</w:t>
            </w:r>
          </w:p>
        </w:tc>
        <w:tc>
          <w:tcPr>
            <w:tcW w:type="dxa" w:w="3997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Доказательство</w:t>
            </w:r>
          </w:p>
        </w:tc>
        <w:tc>
          <w:tcPr>
            <w:tcW w:type="dxa" w:w="3997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Критерий перехода</w:t>
            </w:r>
          </w:p>
        </w:tc>
      </w:tr>
      <w:tr>
        <w:trPr>
          <w:cantSplit/>
        </w:trPr>
        <w:tc>
          <w:tcPr>
            <w:tcW w:type="dxa" w:w="187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В-01</w:t>
              <w:br/>
              <w:t>План</w:t>
            </w:r>
          </w:p>
        </w:tc>
        <w:tc>
          <w:tcPr>
            <w:tcW w:type="dxa" w:w="399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Границы объекта, задача, исходные данные, методика, перечень показателей.</w:t>
            </w:r>
          </w:p>
        </w:tc>
        <w:tc>
          <w:tcPr>
            <w:tcW w:type="dxa" w:w="399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План проверен; для каждого показателя определены единица, способ получения и критерий оценки.</w:t>
            </w:r>
          </w:p>
        </w:tc>
      </w:tr>
      <w:tr>
        <w:trPr>
          <w:cantSplit/>
        </w:trPr>
        <w:tc>
          <w:tcPr>
            <w:tcW w:type="dxa" w:w="187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В-02</w:t>
              <w:br/>
              <w:t>Получение</w:t>
            </w:r>
          </w:p>
        </w:tc>
        <w:tc>
          <w:tcPr>
            <w:tcW w:type="dxa" w:w="3997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Журнал наблюдения; код образца; дата, место, исполнитель; условия хранения и передачи.</w:t>
            </w:r>
          </w:p>
        </w:tc>
        <w:tc>
          <w:tcPr>
            <w:tcW w:type="dxa" w:w="3997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Данные и образец можно связать с конкретной точкой и условиями получения.</w:t>
            </w:r>
          </w:p>
        </w:tc>
      </w:tr>
      <w:tr>
        <w:trPr>
          <w:cantSplit/>
        </w:trPr>
        <w:tc>
          <w:tcPr>
            <w:tcW w:type="dxa" w:w="187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В-03</w:t>
              <w:br/>
              <w:t>Исследование</w:t>
            </w:r>
          </w:p>
        </w:tc>
        <w:tc>
          <w:tcPr>
            <w:tcW w:type="dxa" w:w="399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Протокол испытания либо полевой регистрации; сведения о методе, оборудовании и контроле качества.</w:t>
            </w:r>
          </w:p>
        </w:tc>
        <w:tc>
          <w:tcPr>
            <w:tcW w:type="dxa" w:w="399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Исполнитель подтверждает пригодность метода и полноту протокола в пределах задачи.</w:t>
            </w:r>
          </w:p>
        </w:tc>
      </w:tr>
      <w:tr>
        <w:trPr>
          <w:cantSplit/>
        </w:trPr>
        <w:tc>
          <w:tcPr>
            <w:tcW w:type="dxa" w:w="187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В-04</w:t>
              <w:br/>
              <w:t>Данные</w:t>
            </w:r>
          </w:p>
        </w:tc>
        <w:tc>
          <w:tcPr>
            <w:tcW w:type="dxa" w:w="3997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Исходные файлы, единицы, версии, расчёты, пропуски и замечания.</w:t>
            </w:r>
          </w:p>
        </w:tc>
        <w:tc>
          <w:tcPr>
            <w:tcW w:type="dxa" w:w="3997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Проверяющий может воспроизвести расчёт; преобразования и ограничения раскрыты.</w:t>
            </w:r>
          </w:p>
        </w:tc>
      </w:tr>
      <w:tr>
        <w:trPr>
          <w:cantSplit/>
        </w:trPr>
        <w:tc>
          <w:tcPr>
            <w:tcW w:type="dxa" w:w="187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В-05</w:t>
              <w:br/>
              <w:t>Результат</w:t>
            </w:r>
          </w:p>
        </w:tc>
        <w:tc>
          <w:tcPr>
            <w:tcW w:type="dxa" w:w="399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Сопоставление с исходным состоянием; альтернативные объяснения; заключение и перечень ограничений.</w:t>
            </w:r>
          </w:p>
        </w:tc>
        <w:tc>
          <w:tcPr>
            <w:tcW w:type="dxa" w:w="399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Сформулировано проверяемое решение; неполные доказательства возвращены на доработку.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Статусы записи</w:t>
      </w:r>
    </w:p>
    <w:p>
      <w:r>
        <w:rPr>
          <w:rFonts w:ascii="Arial" w:hAnsi="Arial" w:eastAsia="Arial" w:cs="Arial"/>
          <w:b w:val="0"/>
          <w:sz w:val="21"/>
        </w:rPr>
        <w:t>Черновик → получено → проверено → принято в заданных пределах / возвращено на доработку / недостаточно данных. Статус назначается конкретной записи; положительный статус одной проверки не переносится на весь проект.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СТОП-ФАКТОРЫ В ПРОЕКТЕ ПРОЦЕДУРЫ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Нет идентификатора или первичных данных; неизвестны метод или условия получения; единицы и расчёт не проверяются; отсутствует согласованный критерий; выявлена неустранённая ошибка. Основание остановки записывается, а не скрывается.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Число проверок, формулировки критериев и роли — предложения [П1]. Пороговые значения и требования к конкретным исследованиям определяются отдельно; здесь они не установлены.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11  /  РАБОЧАЯ ФОРМА [П1]</w:t>
      </w:r>
    </w:p>
    <w:p>
      <w:pPr>
        <w:pStyle w:val="Heading1"/>
      </w:pPr>
      <w:r>
        <w:t>Паспорт точки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Единая обложка записи. Тип точки указывается обязательно.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3402"/>
        <w:gridCol w:w="6463"/>
      </w:tblGrid>
      <w:tr>
        <w:trPr>
          <w:tblHeader/>
          <w:cantSplit/>
        </w:trPr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Значение для заполнения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Идентификатор / версия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Тип точки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Место наблюдения Н-__ / этап проверки В-__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Связанный объект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Территория / участок / образец / набор данных: 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Цель и вопрос проверки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Координаты / место / границы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Показатель и единица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Методика / редакция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Периодичность / условия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Критерий приемки и основание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Заполняется до оценки; источник критерия: 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Исходное значение / дата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Оператор / исполнитель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Проверяющий / полномочие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Проба / передача / хранение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Код, даты, ответственные; если применимо: 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Первичные данные / протокол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Ссылка на хранилище и версию: 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Контроль качества / ограничения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Результат / статус / решение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Дата / подпись / следующая проверка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____________________________________________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ПРАВИЛО СВЯЗНОСТИ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Один физический пункт Н-__ может быть связан с несколькими проверками В-__. В каждой записи сохраняется ссылка на объект и доказательства; «валидация» не заменяется отметкой без основания.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12  /  ПРОЕКТ ЗАКРЫТОЙ СЕССИИ [П1]</w:t>
      </w:r>
    </w:p>
    <w:p>
      <w:pPr>
        <w:pStyle w:val="Heading1"/>
      </w:pPr>
      <w:r>
        <w:t>СПЕЦЗАЩИТА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«Живое Село: биоценоз, точки валидации и организация пилота»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ПРОТОКОЛЬНЫЙ СТАТУС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Закрытая рабочая сессия кооператива «СПЕЦЗАЩИТА» предлагается как дополнительное мероприятие. В исходной программе [И2] её нет. Дата, время, площадка, участники и регламент — на согласовании.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r>
        <w:rPr>
          <w:rFonts w:ascii="Arial" w:hAnsi="Arial" w:eastAsia="Arial" w:cs="Arial"/>
          <w:b w:val="0"/>
          <w:sz w:val="21"/>
        </w:rPr>
        <w:t>Цель встречи — обсудить готовность пилота, выбрать состав обязательных материалов и распределить задачи подготовки. Предлагаемая продолжительность — 90 минут. Сессию следует согласовать без пересечения с обязательными мероприятиями участников.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1247"/>
        <w:gridCol w:w="3969"/>
        <w:gridCol w:w="4649"/>
      </w:tblGrid>
      <w:tr>
        <w:trPr>
          <w:tblHeader/>
          <w:cantSplit/>
        </w:trPr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Минуты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Блок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Предлагаемый выход</w:t>
            </w:r>
          </w:p>
        </w:tc>
      </w:tr>
      <w:tr>
        <w:trPr>
          <w:cantSplit/>
        </w:trPr>
        <w:tc>
          <w:tcPr>
            <w:tcW w:type="dxa" w:w="124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00–10</w:t>
            </w:r>
          </w:p>
        </w:tc>
        <w:tc>
          <w:tcPr>
            <w:tcW w:type="dxa" w:w="396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Открытие и границы обсуждения</w:t>
            </w:r>
          </w:p>
        </w:tc>
        <w:tc>
          <w:tcPr>
            <w:tcW w:type="dxa" w:w="464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Согласованы задача встречи и правила доступа.</w:t>
            </w:r>
          </w:p>
        </w:tc>
      </w:tr>
      <w:tr>
        <w:trPr>
          <w:cantSplit/>
        </w:trPr>
        <w:tc>
          <w:tcPr>
            <w:tcW w:type="dxa" w:w="1247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10–25</w:t>
            </w:r>
          </w:p>
        </w:tc>
        <w:tc>
          <w:tcPr>
            <w:tcW w:type="dxa" w:w="396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Пилотная территория и биоценоз</w:t>
            </w:r>
          </w:p>
        </w:tc>
        <w:tc>
          <w:tcPr>
            <w:tcW w:type="dxa" w:w="464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Зафиксированы объект, состав участников и пробелы в данных.</w:t>
            </w:r>
          </w:p>
        </w:tc>
      </w:tr>
      <w:tr>
        <w:trPr>
          <w:cantSplit/>
        </w:trPr>
        <w:tc>
          <w:tcPr>
            <w:tcW w:type="dxa" w:w="124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25–45</w:t>
            </w:r>
          </w:p>
        </w:tc>
        <w:tc>
          <w:tcPr>
            <w:tcW w:type="dxa" w:w="396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Карта наблюдений и точки валидации</w:t>
            </w:r>
          </w:p>
        </w:tc>
        <w:tc>
          <w:tcPr>
            <w:tcW w:type="dxa" w:w="464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Рассмотрены паспорта, методы и критерии приемки.</w:t>
            </w:r>
          </w:p>
        </w:tc>
      </w:tr>
      <w:tr>
        <w:trPr>
          <w:cantSplit/>
        </w:trPr>
        <w:tc>
          <w:tcPr>
            <w:tcW w:type="dxa" w:w="1247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45–65</w:t>
            </w:r>
          </w:p>
        </w:tc>
        <w:tc>
          <w:tcPr>
            <w:tcW w:type="dxa" w:w="396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Работы, ресурсы и риски</w:t>
            </w:r>
          </w:p>
        </w:tc>
        <w:tc>
          <w:tcPr>
            <w:tcW w:type="dxa" w:w="464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Составлен перечень работ с ответственными и недостающими ресурсами.</w:t>
            </w:r>
          </w:p>
        </w:tc>
      </w:tr>
      <w:tr>
        <w:trPr>
          <w:cantSplit/>
        </w:trPr>
        <w:tc>
          <w:tcPr>
            <w:tcW w:type="dxa" w:w="124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65–80</w:t>
            </w:r>
          </w:p>
        </w:tc>
        <w:tc>
          <w:tcPr>
            <w:tcW w:type="dxa" w:w="396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Протокол решений</w:t>
            </w:r>
          </w:p>
        </w:tc>
        <w:tc>
          <w:tcPr>
            <w:tcW w:type="dxa" w:w="464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Определены действия, сроки и условия следующего этапа.</w:t>
            </w:r>
          </w:p>
        </w:tc>
      </w:tr>
      <w:tr>
        <w:trPr>
          <w:cantSplit/>
        </w:trPr>
        <w:tc>
          <w:tcPr>
            <w:tcW w:type="dxa" w:w="1247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80–90</w:t>
            </w:r>
          </w:p>
        </w:tc>
        <w:tc>
          <w:tcPr>
            <w:tcW w:type="dxa" w:w="396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Завершение и выдача поручений</w:t>
            </w:r>
          </w:p>
        </w:tc>
        <w:tc>
          <w:tcPr>
            <w:tcW w:type="dxa" w:w="464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Проверены разногласия, состав приложений и порядок рассылки.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Предлагаемый круг участников</w:t>
      </w:r>
    </w:p>
    <w:p>
      <w:r>
        <w:rPr>
          <w:rFonts w:ascii="Arial" w:hAnsi="Arial" w:eastAsia="Arial" w:cs="Arial"/>
          <w:b w:val="0"/>
          <w:sz w:val="20"/>
        </w:rPr>
        <w:t>Уполномоченные представители СПЕЦЗАЩИТА; представители выбранного хозяйства и территории; специалисты по почве, воде и живым сообществам; исполнители исследований; проверяющий данных; координатор и секретарь. Все персональные приглашения и роли требуют подтверждения.</w:t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Закрытый формат здесь означает обсуждение по согласованному списку участников; он не обозначает государственную тайну и не подтверждает установление специального правового режима.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13  /  ПРОЕКТ УПРАВЛЕНИЯ [П1]</w:t>
      </w:r>
    </w:p>
    <w:p>
      <w:pPr>
        <w:pStyle w:val="Heading1"/>
      </w:pPr>
      <w:r>
        <w:t>Роли, доступ</w:t>
        <w:br/>
        <w:t>и ответственность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Разделяем выполнение работ, контроль доказательств и принятие решения.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2381"/>
        <w:gridCol w:w="4195"/>
        <w:gridCol w:w="3288"/>
      </w:tblGrid>
      <w:tr>
        <w:trPr>
          <w:tblHeader/>
          <w:cantSplit/>
        </w:trPr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Роль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Зона ответственности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Что фиксируется</w:t>
            </w:r>
          </w:p>
        </w:tc>
      </w:tr>
      <w:tr>
        <w:trPr>
          <w:cantSplit/>
        </w:trPr>
        <w:tc>
          <w:tcPr>
            <w:tcW w:type="dxa" w:w="238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Координатор пилота</w:t>
            </w:r>
          </w:p>
        </w:tc>
        <w:tc>
          <w:tcPr>
            <w:tcW w:type="dxa" w:w="419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Связывает задачи, участников, сроки и доступ к площадке.</w:t>
            </w:r>
          </w:p>
        </w:tc>
        <w:tc>
          <w:tcPr>
            <w:tcW w:type="dxa" w:w="3288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Реестр задач и согласований.</w:t>
            </w:r>
          </w:p>
        </w:tc>
      </w:tr>
      <w:tr>
        <w:trPr>
          <w:cantSplit/>
        </w:trPr>
        <w:tc>
          <w:tcPr>
            <w:tcW w:type="dxa" w:w="238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Владелец / оператор объекта</w:t>
            </w:r>
          </w:p>
        </w:tc>
        <w:tc>
          <w:tcPr>
            <w:tcW w:type="dxa" w:w="4195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Подтверждает исходные сведения и согласованный доступ.</w:t>
            </w:r>
          </w:p>
        </w:tc>
        <w:tc>
          <w:tcPr>
            <w:tcW w:type="dxa" w:w="3288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Границы объекта и условия работ.</w:t>
            </w:r>
          </w:p>
        </w:tc>
      </w:tr>
      <w:tr>
        <w:trPr>
          <w:cantSplit/>
        </w:trPr>
        <w:tc>
          <w:tcPr>
            <w:tcW w:type="dxa" w:w="238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Профильный специалист</w:t>
            </w:r>
          </w:p>
        </w:tc>
        <w:tc>
          <w:tcPr>
            <w:tcW w:type="dxa" w:w="419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Выбирает обоснованную методику наблюдений и ограничения.</w:t>
            </w:r>
          </w:p>
        </w:tc>
        <w:tc>
          <w:tcPr>
            <w:tcW w:type="dxa" w:w="3288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Программа измерений и критерии.</w:t>
            </w:r>
          </w:p>
        </w:tc>
      </w:tr>
      <w:tr>
        <w:trPr>
          <w:cantSplit/>
        </w:trPr>
        <w:tc>
          <w:tcPr>
            <w:tcW w:type="dxa" w:w="238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Исполнитель</w:t>
            </w:r>
          </w:p>
        </w:tc>
        <w:tc>
          <w:tcPr>
            <w:tcW w:type="dxa" w:w="4195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Проводит работы и сохраняет первичные данные.</w:t>
            </w:r>
          </w:p>
        </w:tc>
        <w:tc>
          <w:tcPr>
            <w:tcW w:type="dxa" w:w="3288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Журналы, образцы и протоколы.</w:t>
            </w:r>
          </w:p>
        </w:tc>
      </w:tr>
      <w:tr>
        <w:trPr>
          <w:cantSplit/>
        </w:trPr>
        <w:tc>
          <w:tcPr>
            <w:tcW w:type="dxa" w:w="238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Проверяющий</w:t>
            </w:r>
          </w:p>
        </w:tc>
        <w:tc>
          <w:tcPr>
            <w:tcW w:type="dxa" w:w="419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Проверяет комплектность, связность и воспроизводимость.</w:t>
            </w:r>
          </w:p>
        </w:tc>
        <w:tc>
          <w:tcPr>
            <w:tcW w:type="dxa" w:w="3288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Замечания и результат проверки.</w:t>
            </w:r>
          </w:p>
        </w:tc>
      </w:tr>
      <w:tr>
        <w:trPr>
          <w:cantSplit/>
        </w:trPr>
        <w:tc>
          <w:tcPr>
            <w:tcW w:type="dxa" w:w="238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Уполномоченный на решение</w:t>
            </w:r>
          </w:p>
        </w:tc>
        <w:tc>
          <w:tcPr>
            <w:tcW w:type="dxa" w:w="4195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Принимает результат в пределах полномочий и критериев.</w:t>
            </w:r>
          </w:p>
        </w:tc>
        <w:tc>
          <w:tcPr>
            <w:tcW w:type="dxa" w:w="3288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Подписанное решение и условия.</w:t>
            </w:r>
          </w:p>
        </w:tc>
      </w:tr>
      <w:tr>
        <w:trPr>
          <w:cantSplit/>
        </w:trPr>
        <w:tc>
          <w:tcPr>
            <w:tcW w:type="dxa" w:w="238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Секретарь / хранитель реестра</w:t>
            </w:r>
          </w:p>
        </w:tc>
        <w:tc>
          <w:tcPr>
            <w:tcW w:type="dxa" w:w="419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Ведёт версии, протоколы и согласованную рассылку.</w:t>
            </w:r>
          </w:p>
        </w:tc>
        <w:tc>
          <w:tcPr>
            <w:tcW w:type="dxa" w:w="3288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История изменений и доступа.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Предлагаемые правила закрытой встречи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Список приглашённых и допускаемые материалы согласуются до сессии. Полномочия представителя уточняются отдельно.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Запись, публикация и передача материалов обсуждаются заранее. Внешняя выдержка отделяется от рабочих приложений.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Сведения о конкретных людях и чувствительные данные не включаются в публичные материалы без отдельного основания и согласования.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Конфликт интересов проверяющего раскрывается. Самопроверка исполнителя не выдаётся за независимое подтверждение.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РЕШЕНИЕ НЕ РАВНО ОБЕЩАНИЮ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Протокол фиксирует согласованные действия и условия. Он не подменяет договор, бюджетное обязательство, разрешение или подтверждение наличия ресурса.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14  /  ПРОЕКТНЫЙ МАРШРУТ [П1]</w:t>
      </w:r>
    </w:p>
    <w:p>
      <w:pPr>
        <w:pStyle w:val="Heading1"/>
      </w:pPr>
      <w:r>
        <w:t>Первые 90 дней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Отсчёт — от утверждения пилота и выполнения стартовых условий, не от даты форума.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1757"/>
        <w:gridCol w:w="4139"/>
        <w:gridCol w:w="3969"/>
      </w:tblGrid>
      <w:tr>
        <w:trPr>
          <w:tblHeader/>
          <w:cantSplit/>
        </w:trPr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Этап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Работы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Условие перехода</w:t>
            </w:r>
          </w:p>
        </w:tc>
      </w:tr>
      <w:tr>
        <w:trPr>
          <w:cantSplit/>
        </w:trPr>
        <w:tc>
          <w:tcPr>
            <w:tcW w:type="dxa" w:w="175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Дни 1–15</w:t>
              <w:br/>
              <w:t>Подготовка</w:t>
            </w:r>
          </w:p>
        </w:tc>
        <w:tc>
          <w:tcPr>
            <w:tcW w:type="dxa" w:w="413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Выбрать объект; подтвердить доступ; назначить роли; согласовать план, методы и хранение данных.</w:t>
            </w:r>
          </w:p>
        </w:tc>
        <w:tc>
          <w:tcPr>
            <w:tcW w:type="dxa" w:w="396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Подписаны границы пилота, план и перечень необходимых ресурсов.</w:t>
            </w:r>
          </w:p>
        </w:tc>
      </w:tr>
      <w:tr>
        <w:trPr>
          <w:cantSplit/>
        </w:trPr>
        <w:tc>
          <w:tcPr>
            <w:tcW w:type="dxa" w:w="1757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Дни 16–30</w:t>
              <w:br/>
              <w:t>Исходное состояние</w:t>
            </w:r>
          </w:p>
        </w:tc>
        <w:tc>
          <w:tcPr>
            <w:tcW w:type="dxa" w:w="413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Оформить точки; провести исходные наблюдения; проверить журналы и протоколы.</w:t>
            </w:r>
          </w:p>
        </w:tc>
        <w:tc>
          <w:tcPr>
            <w:tcW w:type="dxa" w:w="396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База данных прошла согласованные проверки комплектности и качества.</w:t>
            </w:r>
          </w:p>
        </w:tc>
      </w:tr>
      <w:tr>
        <w:trPr>
          <w:cantSplit/>
        </w:trPr>
        <w:tc>
          <w:tcPr>
            <w:tcW w:type="dxa" w:w="1757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Дни 31–60</w:t>
              <w:br/>
              <w:t>Рабочий цикл</w:t>
            </w:r>
          </w:p>
        </w:tc>
        <w:tc>
          <w:tcPr>
            <w:tcW w:type="dxa" w:w="413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Выполнить согласованные действия; вести наблюдения; фиксировать отклонения.</w:t>
            </w:r>
          </w:p>
        </w:tc>
        <w:tc>
          <w:tcPr>
            <w:tcW w:type="dxa" w:w="3969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Документированы выполненные работы, расходы и причины изменений.</w:t>
            </w:r>
          </w:p>
        </w:tc>
      </w:tr>
      <w:tr>
        <w:trPr>
          <w:cantSplit/>
        </w:trPr>
        <w:tc>
          <w:tcPr>
            <w:tcW w:type="dxa" w:w="1757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Дни 61–90</w:t>
              <w:br/>
              <w:t>Проверка и решение</w:t>
            </w:r>
          </w:p>
        </w:tc>
        <w:tc>
          <w:tcPr>
            <w:tcW w:type="dxa" w:w="413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Проверить доказательства; подготовить выводы и ограничения; определить следующий цикл.</w:t>
            </w:r>
          </w:p>
        </w:tc>
        <w:tc>
          <w:tcPr>
            <w:tcW w:type="dxa" w:w="3969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Принято решение: продолжать, дорабатывать либо завершать конкретные работы.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Карточка ресурсов — без неподтверждённых сумм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2268"/>
        <w:gridCol w:w="4535"/>
        <w:gridCol w:w="3061"/>
      </w:tblGrid>
      <w:tr>
        <w:trPr>
          <w:tblHeader/>
          <w:cantSplit/>
        </w:trPr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Основание расчёта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Сумма / источник</w:t>
            </w:r>
          </w:p>
        </w:tc>
      </w:tr>
      <w:tr>
        <w:trPr>
          <w:cantSplit/>
        </w:trPr>
        <w:tc>
          <w:tcPr>
            <w:tcW w:type="dxa" w:w="2268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Исследования</w:t>
            </w:r>
          </w:p>
        </w:tc>
        <w:tc>
          <w:tcPr>
            <w:tcW w:type="dxa" w:w="453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Перечень проб, методов и коммерческие предложения.</w:t>
            </w:r>
          </w:p>
        </w:tc>
        <w:tc>
          <w:tcPr>
            <w:tcW w:type="dxa" w:w="306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Заполняется после расчёта.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Оборудование и связь</w:t>
            </w:r>
          </w:p>
        </w:tc>
        <w:tc>
          <w:tcPr>
            <w:tcW w:type="dxa" w:w="4535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Реестр имеющегося и обоснованный дефицит.</w:t>
            </w:r>
          </w:p>
        </w:tc>
        <w:tc>
          <w:tcPr>
            <w:tcW w:type="dxa" w:w="306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Заполняется после расчёта.</w:t>
            </w:r>
          </w:p>
        </w:tc>
      </w:tr>
      <w:tr>
        <w:trPr>
          <w:cantSplit/>
        </w:trPr>
        <w:tc>
          <w:tcPr>
            <w:tcW w:type="dxa" w:w="2268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Работы и логистика</w:t>
            </w:r>
          </w:p>
        </w:tc>
        <w:tc>
          <w:tcPr>
            <w:tcW w:type="dxa" w:w="4535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Объём, ставка, маршруты и календарь.</w:t>
            </w:r>
          </w:p>
        </w:tc>
        <w:tc>
          <w:tcPr>
            <w:tcW w:type="dxa" w:w="306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Заполняется после расчёта.</w:t>
            </w:r>
          </w:p>
        </w:tc>
      </w:tr>
      <w:tr>
        <w:trPr>
          <w:cantSplit/>
        </w:trPr>
        <w:tc>
          <w:tcPr>
            <w:tcW w:type="dxa" w:w="2268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Контроль и хранение</w:t>
            </w:r>
          </w:p>
        </w:tc>
        <w:tc>
          <w:tcPr>
            <w:tcW w:type="dxa" w:w="4535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Проверка, архив, версии и сопровождение.</w:t>
            </w:r>
          </w:p>
        </w:tc>
        <w:tc>
          <w:tcPr>
            <w:tcW w:type="dxa" w:w="306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Заполняется после расчёта.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shd w:fill="F5F2EA"/>
            <w:tcMar>
              <w:top w:w="150" w:type="dxa"/>
              <w:start w:w="200" w:type="dxa"/>
              <w:bottom w:w="150" w:type="dxa"/>
              <w:end w:w="200" w:type="dxa"/>
            </w:tcMar>
          </w:tcPr>
          <w:p>
            <w:pPr>
              <w:spacing w:after="100"/>
            </w:pPr>
            <w:r>
              <w:rPr>
                <w:rFonts w:ascii="Arial" w:hAnsi="Arial" w:eastAsia="Arial" w:cs="Arial"/>
                <w:b/>
                <w:color w:val="173D32"/>
                <w:sz w:val="22"/>
              </w:rPr>
              <w:t>ЧЕГО 90 ДНЕЙ НЕ ОБЕЩАЮТ</w:t>
            </w:r>
          </w:p>
          <w:p>
            <w:pPr>
              <w:spacing w:after="0" w:line="26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20"/>
              </w:rPr>
              <w:t>Этот срок — организационный цикл, а не доказательство восстановления биоценоза или гарантированного дохода. Для природных результатов может потребоваться иной горизонт наблюдений, определяемый программой исследования.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15  /  РАБОЧИЕ ФОРМЫ [П1]</w:t>
      </w:r>
    </w:p>
    <w:p>
      <w:pPr>
        <w:pStyle w:val="Heading1"/>
      </w:pPr>
      <w:r>
        <w:t>Решения</w:t>
        <w:br/>
        <w:t>и критерии готовности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Каждое действие получает документируемый результат и проверку.</w:t>
      </w:r>
    </w:p>
    <w:p>
      <w:pPr>
        <w:pStyle w:val="Heading2"/>
      </w:pPr>
      <w:r>
        <w:t>Форма решения закрытой сессии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3402"/>
        <w:gridCol w:w="6463"/>
      </w:tblGrid>
      <w:tr>
        <w:trPr>
          <w:tblHeader/>
          <w:cantSplit/>
        </w:trPr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Реквизит</w:t>
            </w:r>
          </w:p>
        </w:tc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Номер / дата / версия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Согласованное действие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Ответственный / срок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Необходимые ресурсы / условия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Выходной документ / доказательство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Критерий и проверяющий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Разногласия / ограничения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Статус / следующая контрольная дата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____________________________________________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pStyle w:val="Heading2"/>
      </w:pPr>
      <w:r>
        <w:t>Минимальный комплект перед началом работ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3402"/>
        <w:gridCol w:w="6463"/>
      </w:tblGrid>
      <w:tr>
        <w:trPr>
          <w:tblHeader/>
          <w:cantSplit/>
        </w:trPr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Документ</w:t>
            </w:r>
          </w:p>
        </w:tc>
        <w:tc>
          <w:tcPr>
            <w:tcW w:type="dxa" w:w="4933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9"/>
              </w:rPr>
              <w:t>Контрольный вопрос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Паспорт территории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Понятны объект, границы и основания доступа?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План работ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Определены действия, сроки, роли и ресурсы?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Карта точек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Места наблюдений связаны с паспортами и процедурами проверки?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Программа измерений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Согласованы методы, критерии и ограничения?</w:t>
            </w:r>
          </w:p>
        </w:tc>
      </w:tr>
      <w:tr>
        <w:trPr>
          <w:cantSplit/>
        </w:trPr>
        <w:tc>
          <w:tcPr>
            <w:tcW w:type="dxa" w:w="340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Реестр доказательств</w:t>
            </w:r>
          </w:p>
        </w:tc>
        <w:tc>
          <w:tcPr>
            <w:tcW w:type="dxa" w:w="6463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Есть место хранения, версия, ответственный и права доступа?</w:t>
            </w:r>
          </w:p>
        </w:tc>
      </w:tr>
      <w:tr>
        <w:trPr>
          <w:cantSplit/>
        </w:trPr>
        <w:tc>
          <w:tcPr>
            <w:tcW w:type="dxa" w:w="340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9"/>
              </w:rPr>
              <w:t>Протокол решения</w:t>
            </w:r>
          </w:p>
        </w:tc>
        <w:tc>
          <w:tcPr>
            <w:tcW w:type="dxa" w:w="6463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9"/>
              </w:rPr>
              <w:t>Понятно, кто и на каком основании разрешает следующий этап?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Все формы предназначены для заполнения. Пустое поле не трактуется как согласование; отсутствие данных не заменяется оценкой «по умолчанию».</w:t>
      </w:r>
    </w:p>
    <w:p>
      <w:r>
        <w:br w:type="page"/>
      </w:r>
    </w:p>
    <w:p>
      <w:pPr>
        <w:spacing w:after="120" w:before="100"/>
      </w:pPr>
      <w:r>
        <w:rPr>
          <w:rFonts w:ascii="Arial" w:hAnsi="Arial" w:eastAsia="Arial" w:cs="Arial"/>
          <w:b/>
          <w:color w:val="AD8749"/>
          <w:sz w:val="18"/>
        </w:rPr>
        <w:t>16  /  ИСТОЧНИКИ И СОГЛАСОВАНИЕ</w:t>
      </w:r>
    </w:p>
    <w:p>
      <w:pPr>
        <w:pStyle w:val="Heading1"/>
      </w:pPr>
      <w:r>
        <w:t>Основания комплекта</w:t>
      </w:r>
    </w:p>
    <w:p>
      <w:pPr>
        <w:spacing w:after="200"/>
      </w:pPr>
      <w:r>
        <w:rPr>
          <w:rFonts w:ascii="Arial" w:hAnsi="Arial" w:eastAsia="Arial" w:cs="Arial"/>
          <w:b w:val="0"/>
          <w:color w:val="66716A"/>
          <w:sz w:val="21"/>
        </w:rPr>
        <w:t>Редакция 18 сентября 2026 года. Подготовлено по предоставленным материалам.</w:t>
      </w:r>
    </w:p>
    <w:p>
      <w:pPr>
        <w:pStyle w:val="Heading2"/>
      </w:pPr>
      <w:r>
        <w:t>Исходные документы</w:t>
      </w:r>
    </w:p>
    <w:p>
      <w:r>
        <w:rPr>
          <w:rFonts w:ascii="Arial" w:hAnsi="Arial" w:eastAsia="Arial" w:cs="Arial"/>
          <w:b w:val="0"/>
          <w:sz w:val="20"/>
        </w:rPr>
        <w:t>[И1] Priglashenie-PERSONALNOE-shablon.docx. ОД «Федеральный Сельсовет». Шаблон персонального приглашения на форум 2–3 октября 2026 года: адресные поля, цели, порядок участия, контакты, приложения и внутренняя памятка для рассылки.</w:t>
      </w:r>
    </w:p>
    <w:p>
      <w:r>
        <w:rPr>
          <w:rFonts w:ascii="Arial" w:hAnsi="Arial" w:eastAsia="Arial" w:cs="Arial"/>
          <w:b w:val="0"/>
          <w:sz w:val="20"/>
        </w:rPr>
        <w:t>[И2] Programma-2-oktyabrya-kruglye-stoly.docx. «Программа первого дня: семь круглых столов». Расписание 2 октября, темы и участники семи столов, сводка категорий, проект второго дня и организационные вопросы.</w:t>
      </w:r>
    </w:p>
    <w:p>
      <w:r>
        <w:rPr>
          <w:rFonts w:ascii="Arial" w:hAnsi="Arial" w:eastAsia="Arial" w:cs="Arial"/>
          <w:b w:val="0"/>
          <w:sz w:val="20"/>
        </w:rPr>
        <w:t>[П1] Проектные дополнения по запросу пользователя: «Живое Село», закрытая сессия кооператива «СПЕЦЗАЩИТА», «Биоценоз и точки валидации», представительское оформление. В источниках [И1–И2] эти дополнения не утверждены.</w:t>
      </w:r>
    </w:p>
    <w:p>
      <w:pPr>
        <w:pStyle w:val="Heading2"/>
      </w:pPr>
      <w:r>
        <w:t>Что не подтверждено исходниками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Конкретная площадка форума, залы, модераторы, телефон и координатор. Названные органы и организации указаны как категории / приглашённые, не как подтверждённые участники.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Проекты повестки Forum-01 и резолюции Forum-02 упомянуты в приглашении, но отдельными файлами в данном наборе не предоставлены. Содержимое резолюции здесь не реконструируется.</w:t>
      </w:r>
    </w:p>
    <w:p>
      <w:pPr>
        <w:spacing w:after="80"/>
        <w:ind w:left="181" w:hanging="170"/>
      </w:pPr>
      <w:r>
        <w:rPr>
          <w:rFonts w:ascii="Arial" w:hAnsi="Arial" w:eastAsia="Arial" w:cs="Arial"/>
          <w:b/>
          <w:color w:val="AD8749"/>
          <w:sz w:val="20"/>
        </w:rPr>
        <w:t xml:space="preserve">—  </w:t>
      </w:r>
      <w:r>
        <w:rPr>
          <w:rFonts w:ascii="Arial" w:hAnsi="Arial" w:eastAsia="Arial" w:cs="Arial"/>
          <w:b w:val="0"/>
          <w:color w:val="263931"/>
          <w:sz w:val="20"/>
        </w:rPr>
        <w:t>Пилотная территория, действующие пункты мониторинга, показатели, бюджет, права на активы и соглашения не представлены. Проектные коды и формы не являются данными измерений.</w:t>
      </w:r>
    </w:p>
    <w:p>
      <w:pPr>
        <w:pStyle w:val="Heading2"/>
      </w:pPr>
      <w:r>
        <w:t>Лист согласования дополнений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DDCD4"/>
          <w:left w:val="nil" w:sz="4" w:color="DDDCD4"/>
          <w:bottom w:val="single" w:sz="4" w:color="DDDCD4"/>
          <w:right w:val="nil" w:sz="4" w:color="DDDCD4"/>
          <w:insideH w:val="single" w:sz="4" w:color="DDDCD4"/>
          <w:insideV w:val="nil" w:sz="4" w:color="DDDCD4"/>
        </w:tblBorders>
      </w:tblPr>
      <w:tblGrid>
        <w:gridCol w:w="4082"/>
        <w:gridCol w:w="3572"/>
        <w:gridCol w:w="2211"/>
      </w:tblGrid>
      <w:tr>
        <w:trPr>
          <w:tblHeader/>
          <w:cantSplit/>
        </w:trPr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Предмет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Кто согласует*</w:t>
            </w:r>
          </w:p>
        </w:tc>
        <w:tc>
          <w:tcPr>
            <w:tcW w:type="dxa" w:w="3289"/>
            <w:shd w:fill="173D32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color w:val="FFFFFF"/>
                <w:sz w:val="18"/>
              </w:rPr>
              <w:t>Отметка / дата</w:t>
            </w:r>
          </w:p>
        </w:tc>
      </w:tr>
      <w:tr>
        <w:trPr>
          <w:cantSplit/>
        </w:trPr>
        <w:tc>
          <w:tcPr>
            <w:tcW w:type="dxa" w:w="408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Статус и место сессии в мероприятии</w:t>
            </w:r>
          </w:p>
        </w:tc>
        <w:tc>
          <w:tcPr>
            <w:tcW w:type="dxa" w:w="357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Оргкомитет форума и инициатор сессии</w:t>
            </w:r>
          </w:p>
        </w:tc>
        <w:tc>
          <w:tcPr>
            <w:tcW w:type="dxa" w:w="221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08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Дата, время, зал и участники</w:t>
            </w:r>
          </w:p>
        </w:tc>
        <w:tc>
          <w:tcPr>
            <w:tcW w:type="dxa" w:w="357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Уполномоченный координатор</w:t>
            </w:r>
          </w:p>
        </w:tc>
        <w:tc>
          <w:tcPr>
            <w:tcW w:type="dxa" w:w="221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08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Пилот и программа наблюдений</w:t>
            </w:r>
          </w:p>
        </w:tc>
        <w:tc>
          <w:tcPr>
            <w:tcW w:type="dxa" w:w="357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Владелец объекта и профильные специалисты</w:t>
            </w:r>
          </w:p>
        </w:tc>
        <w:tc>
          <w:tcPr>
            <w:tcW w:type="dxa" w:w="221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08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Роли проверки и критерии</w:t>
            </w:r>
          </w:p>
        </w:tc>
        <w:tc>
          <w:tcPr>
            <w:tcW w:type="dxa" w:w="3572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Уполномоченные участники пилота</w:t>
            </w:r>
          </w:p>
        </w:tc>
        <w:tc>
          <w:tcPr>
            <w:tcW w:type="dxa" w:w="2211"/>
            <w:shd w:fill="FFFFFF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408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/>
                <w:color w:val="263931"/>
                <w:sz w:val="18"/>
              </w:rPr>
              <w:t>Ресурсы и доступ к данным</w:t>
            </w:r>
          </w:p>
        </w:tc>
        <w:tc>
          <w:tcPr>
            <w:tcW w:type="dxa" w:w="3572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Держатели ресурсов и данных</w:t>
            </w:r>
          </w:p>
        </w:tc>
        <w:tc>
          <w:tcPr>
            <w:tcW w:type="dxa" w:w="2211"/>
            <w:shd w:fill="F5F2EA"/>
            <w:tcMar>
              <w:top w:w="95" w:type="dxa"/>
              <w:start w:w="135" w:type="dxa"/>
              <w:bottom w:w="95" w:type="dxa"/>
              <w:end w:w="135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 w:eastAsia="Arial" w:cs="Arial"/>
                <w:b w:val="0"/>
                <w:color w:val="263931"/>
                <w:sz w:val="18"/>
              </w:rPr>
              <w:t>________________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b w:val="0"/>
          <w:sz w:val="4"/>
        </w:rPr>
      </w:r>
    </w:p>
    <w:p>
      <w:pPr>
        <w:spacing w:after="100"/>
      </w:pPr>
      <w:r>
        <w:rPr>
          <w:rFonts w:ascii="Arial" w:hAnsi="Arial" w:eastAsia="Arial" w:cs="Arial"/>
          <w:b w:val="0"/>
          <w:color w:val="66716A"/>
          <w:sz w:val="16"/>
        </w:rPr>
        <w:t>* Предлагаемые стороны согласования, не утверждённые назначения. Перед внешней рассылкой проверяются реквизиты, приложения и полномочия подписанта.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35" w:left="1020" w:header="369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08" w:val="right"/>
      </w:tabs>
    </w:pPr>
    <w:r>
      <w:rPr>
        <w:rFonts w:ascii="Arial" w:hAnsi="Arial" w:eastAsia="Arial" w:cs="Arial"/>
        <w:b w:val="0"/>
        <w:color w:val="66716A"/>
        <w:sz w:val="15"/>
      </w:rPr>
      <w:t>РАБОЧАЯ РЕДАКЦИЯ  •  18.09.2026</w:t>
    </w:r>
    <w:r>
      <w:rPr>
        <w:rFonts w:ascii="Arial" w:hAnsi="Arial" w:eastAsia="Arial" w:cs="Arial"/>
        <w:sz w:val="16"/>
      </w:rPr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pBdr>
        <w:bottom w:val="single" w:sz="6" w:color="AD8749"/>
      </w:pBdr>
    </w:pPr>
    <w:r>
      <w:rPr>
        <w:rFonts w:ascii="Arial" w:hAnsi="Arial" w:eastAsia="Arial" w:cs="Arial"/>
        <w:b/>
        <w:color w:val="173D32"/>
        <w:sz w:val="17"/>
      </w:rPr>
      <w:t>ЖИВОЕ СЕЛО</w:t>
    </w:r>
    <w:r>
      <w:rPr>
        <w:rFonts w:ascii="Arial" w:hAnsi="Arial" w:eastAsia="Arial" w:cs="Arial"/>
        <w:b w:val="0"/>
        <w:color w:val="66716A"/>
        <w:sz w:val="16"/>
      </w:rPr>
      <w:t xml:space="preserve">  /  ПРЕДСТАВИТЕЛЬСКИЙ КОМПЛЕКТ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rial" w:hAnsi="Arial"/>
      <w:color w:val="26393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/>
      <w:outlineLvl w:val="0"/>
    </w:pPr>
    <w:rPr>
      <w:rFonts w:asciiTheme="majorHAnsi" w:eastAsiaTheme="majorEastAsia" w:hAnsiTheme="majorHAnsi" w:cstheme="majorBidi" w:ascii="Georgia" w:hAnsi="Georgia"/>
      <w:b/>
      <w:bCs/>
      <w:color w:val="173D32"/>
      <w:sz w:val="5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73D32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173D3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80"/>
      <w:contextualSpacing/>
    </w:pPr>
    <w:rPr>
      <w:rFonts w:asciiTheme="majorHAnsi" w:eastAsiaTheme="majorEastAsia" w:hAnsiTheme="majorHAnsi" w:cstheme="majorBidi" w:ascii="Georgia" w:hAnsi="Georgia"/>
      <w:b w:val="0"/>
      <w:color w:val="173D32"/>
      <w:spacing w:val="5"/>
      <w:kern w:val="28"/>
      <w:sz w:val="8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Живое Село — представительский комплект</dc:title>
  <dc:subject>Живое Село: программа форума и проект дополнений</dc:subject>
  <dc:creator/>
  <cp:keywords>Живое Село; СПЕЦЗАЩИТА; Биоценоз; точки валидации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