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Программа продвижения форума Сельсовет</w:t>
      </w:r>
    </w:p>
    <w:p>
      <w:r>
        <w:t>Москва • 2–3 октября 2026 года</w:t>
        <w:br/>
        <w:t>Рабочий проект для организационного комитета • 19 сентября 2026 года</w:t>
      </w:r>
    </w:p>
    <w:p>
      <w:pPr>
        <w:pStyle w:val="Heading1"/>
      </w:pPr>
      <w:r>
        <w:t>Цель программы</w:t>
      </w:r>
    </w:p>
    <w:p>
      <w:r>
        <w:t>Используем доступные медиаконтакты, чтобы привлечь участников к семи круглым столам, собрать конкретные случаи и предложения с территорий и обеспечить публичное освещение результатов форума. Основная кампания проходит с 19 сентября по 3 октября; публикация итогов и контроль исполнения продолжаются после форума.</w:t>
      </w:r>
    </w:p>
    <w:p>
      <w:r>
        <w:t>Официальное наименование в исходной программе: форум Аграрно-промышленного союза «Село России — продовольственная безопасность и возрождение промышленности». В кратких анонсах используем «Форум Сельсовет» вместе с полным названием при первом упоминании.</w:t>
      </w:r>
    </w:p>
    <w:p>
      <w:pPr>
        <w:pStyle w:val="Heading1"/>
      </w:pPr>
      <w:r>
        <w:t>Основание и статус</w:t>
      </w:r>
    </w:p>
    <w:p>
      <w:r>
        <w:t>Программа составлена по документу Programma-2-oktyabrya-kruglye-stoly.docx, сохранённому 18 сентября 2026 года, и по перечню медиаресурсов, предоставленному Сергеем Леонидовичем Соколовым. Даты 2–3 октября подтверждены инициатором. Исходная программа имеет статус проекта; расписание и состав приглашённых нельзя представлять как окончательно утверждённые.</w:t>
      </w:r>
    </w:p>
    <w:p>
      <w:r>
        <w:t>В исходнике указана Москва, но отсутствуют точный адрес, назначенные модераторы и подтверждённый состав выступающих. До запуска регистрационных объявлений оргкомитет уточняет эти сведения, контакт для заявок и возможность дистанционного участия. Участие ведомств указывается только после подтверждения.</w:t>
      </w:r>
    </w:p>
    <w:p>
      <w:pPr>
        <w:pStyle w:val="Heading1"/>
      </w:pPr>
      <w:r>
        <w:t>Что предлагаем аудитории</w:t>
      </w:r>
    </w:p>
    <w:p>
      <w:r>
        <w:t>Участник выбирает круглый стол, направляет вопрос или случай с цифрами и предлагает решение. Для организаторов результатом кампании становятся зарегистрированные участники, подготовленные материалы для дискуссий и предложения, пригодные для включения в резолюцию.</w:t>
      </w:r>
    </w:p>
    <w:p>
      <w:r>
        <w:t>Единая форма заявки: имя и организация, регион, контакт, выбранный стол, краткое описание вопроса, расчёт или подтверждающие материалы, предлагаемое решение. Для стола 4 добавляем сведения о наличии и потребности в технике. Предлагаемый срок приёма основных материалов — 29 сентября, чтобы подготовить сводки к 30 сентября.</w:t>
      </w:r>
    </w:p>
    <w:p>
      <w:r>
        <w:br w:type="page"/>
      </w:r>
    </w:p>
    <w:p>
      <w:pPr>
        <w:pStyle w:val="Heading1"/>
      </w:pPr>
      <w:r>
        <w:t>Медиаресурсы и предлагаемые роли</w:t>
      </w:r>
    </w:p>
    <w:p>
      <w:r>
        <w:t>Аудитории приведены со слов инициатора без внешней проверки. Они не равны просмотрам и не суммируются в уникальный охват. Первые шесть площадок обозначены как регулярные контакты; конкретные размещения необходимо согласовать.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2664"/>
        <w:gridCol w:w="4968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Ресурс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Подписчики по исходным данным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Предлагаемый формат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Федеральный сельсовет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84 тыс. YouTube; другие сети дополнительно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Основные анонсы, обращение организатора, ежедневные обновления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Прекрасная Россия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Более 200 тыс.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Интервью о сельских территориях и людях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ТВ Совхоз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Более 200 тыс.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Эфиры об урожае, кооперации и переработке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Свободная пресса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Более 400 тыс.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Интервью и публикации о повестке форума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СПЕЦ ТВ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750 тыс. ранее; текущие данные уточнить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Экспертный эфир и короткие видеоматериалы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Перехват управления ТВ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Более 350 тыс.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Обсуждение механизмов реализации предложений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Де Факто ТВ / Миронов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Более 170 тыс.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Предложить интервью с организатором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Павел Иванов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Около 1 млн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Предложить анонс или обзор повестки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Живой гвоздь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Более 300 тыс.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Предложить редакции тематическое интервью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SOTAvision, Евгений Ступин и другие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Не указаны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Уточнить контакт и редакционный интерес</w:t>
            </w:r>
          </w:p>
        </w:tc>
      </w:tr>
    </w:tbl>
    <w:p>
      <w:pPr>
        <w:spacing w:after="0"/>
      </w:pPr>
    </w:p>
    <w:p>
      <w:r>
        <w:t>YouTube, ВК, RUTUBE, Дзен и Telegram используем там, где у организаторов и партнёров есть действующие аккаунты и согласие на публикацию. Один исходный материал адаптируем под площадку: полный эфир, короткий ролик, текст и карточка с датой и ссылкой.</w:t>
      </w:r>
    </w:p>
    <w:p>
      <w:r>
        <w:t>Минимальное предложение каждому регулярному партнёру: стартовый анонс, один тематический материал, напоминание перед форумом и публикация итогов. Это предложение редакциям, а не подтверждённое обязательство. Исторические 750 тыс. подписчиков СПЕЦ ТВ не включаем в текущую оценку аудитории.</w:t>
      </w:r>
    </w:p>
    <w:p>
      <w:r>
        <w:br w:type="page"/>
      </w:r>
    </w:p>
    <w:p>
      <w:pPr>
        <w:pStyle w:val="Heading1"/>
      </w:pPr>
      <w:r>
        <w:t>Семь тем для семи круглых столов</w:t>
      </w:r>
    </w:p>
    <w:p>
      <w:r>
        <w:t>Каждая тематическая публикация связана с конкретным столом исходной программы. Сначала показываем практический вопрос, затем приглашаем прислать случай или предложение. Даты ниже относятся к предлагаемому выпуску материалов в сентябре 2026 года.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24"/>
        <w:gridCol w:w="3240"/>
        <w:gridCol w:w="5472"/>
      </w:tblGrid>
      <w:tr>
        <w:trPr>
          <w:cantSplit/>
          <w:tblHeader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Дата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Круглый стол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Содержание публикации и сбор материалов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22 сентября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  Цена урожая и доход хозяйства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Себестоимость, закупочная цена, хранение и сбыт. Собираем расчёты по хозяйствам и регионам.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23 сентября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  Кредиты, лизинг и издержки сезона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Платежи, сезонные расходы и предложения по поддержке. Финансовые случаи публикуем с согласия хозяйства.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24 сентября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3  Кооперация и совместный экспорт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Опыт совместного сбыта и переработки. Приглашаем действующие кооперативы представить практику.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25 сентября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4  Общий заказ на отечественную технику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Что нужно хозяйствам и почему покупка откладывается. Собираем заявки для сводки к 30 сентября.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26 сентября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5  Переработка и продовольственная безопасность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Проекты переработки рядом с производством, качество и хранение продукции.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27 сентября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6  Понятные правила работы на земле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Практические случаи по землепользованию и учёту животных. Правовые предложения описываем как предмет обсуждения.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28 сентября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7  Сельские территории и люди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Рабочие места, подготовка кадров, инфраструктура и связь между хозяйствами и жизнью территории.</w:t>
            </w:r>
          </w:p>
        </w:tc>
      </w:tr>
    </w:tbl>
    <w:p>
      <w:pPr>
        <w:spacing w:after="0"/>
      </w:pPr>
    </w:p>
    <w:p>
      <w:r>
        <w:t>Формат каждого выпуска: интервью или обсуждение на 20–40 минут при согласовании с площадкой; короткая версия на 60–90 секунд; текстовый анонс; ссылка на форму участия. Из записанного выпуска готовим два коротких фрагмента для повторного распространения.</w:t>
      </w:r>
    </w:p>
    <w:p>
      <w:r>
        <w:t>В исходнике сохранение стола 5 в нынешнем виде оставлено на решение оргкомитета. До подтверждения публикуем его как тему проекта программы. При объединении со столами 1 и 3 обновляем карточки, расписание и форму регистрации одновременно.</w:t>
      </w:r>
    </w:p>
    <w:p>
      <w:pPr>
        <w:pStyle w:val="Heading1"/>
      </w:pPr>
      <w:r>
        <w:t>Пакет для редакции</w:t>
      </w:r>
    </w:p>
    <w:p>
      <w:r>
        <w:t>Один пресс-релиз; полная и краткая программа; подтверждённые сведения о спикерах; видеообращение; афиша в трёх форматах; фотографии с разрешением на использование; персональная отслеживаемая ссылка; контакт координатора. Адрес и условия участия везде должны совпадать.</w:t>
      </w:r>
    </w:p>
    <w:p>
      <w:r>
        <w:br w:type="page"/>
      </w:r>
    </w:p>
    <w:p>
      <w:pPr>
        <w:pStyle w:val="Heading1"/>
      </w:pPr>
      <w:r>
        <w:t>Календарь подготовки и продвижения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12"/>
        <w:gridCol w:w="6120"/>
        <w:gridCol w:w="2304"/>
      </w:tblGrid>
      <w:tr>
        <w:trPr>
          <w:cantSplit/>
          <w:tblHeader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Срок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Действие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Ответственная функция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19–20 сентября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Сверить программу, адрес, регистрацию и контакты. Согласовать редакционный календарь с регулярными площадками.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Оргкомитет и медиакоординатор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21 сентября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Выпустить общий анонс и обращение организатора. Открыть сбор заявок по семи столам.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Редактор и администратор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До 22 сентября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Выполнить срок приглашения федеральных органов, указанный в исходнике. Уточнить у оргкомитета фактическую отправку и ответы.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Оргкомитет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22–28 сентября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Выпустить семь тематических материалов по таблице. Ежедневно учитывать публикации и заявки.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Редактор и партнёрские редакции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29 сентября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Напомнить о подаче материалов. Систематизировать вопросы, случаи и заявки на технику.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Администратор и модераторы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30 сентября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Подготовить сводку потребностей в технике и пакеты материалов для столов. Опубликовать уточнённую программу.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Модераторы и оргкомитет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 октября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Подтвердить участие; выдать памятку с адресом и временем. Проверить запись, звук и возможность трансляции.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Администратор и техническая группа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2–3 октября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Освещать работу по согласованному расписанию. Публиковать только проверенные результаты.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Пресс-группа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4–6 октября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Выпустить итоговый материал, записи и резолюцию после утверждения.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Редактор и оргкомитет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До 13 октября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Опубликовать порядок дальнейшей работы и доступные подтверждения направления обращений.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Оргкомитет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До 2 ноября</w:t>
            </w:r>
          </w:p>
        </w:tc>
        <w:tc>
          <w:tcPr>
            <w:tcW w:type="dxa" w:w="61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Подготовить первый отчёт о выполненных действиях и полученных ответах.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Ответственный за сопровождение</w:t>
            </w:r>
          </w:p>
        </w:tc>
      </w:tr>
    </w:tbl>
    <w:p>
      <w:pPr>
        <w:spacing w:after="0"/>
      </w:pPr>
    </w:p>
    <w:p>
      <w:r>
        <w:t>Назначения в таблице — необходимые функции, а не сведения об уже назначенных сотрудниках. При небольшой команде медиакоординатор совмещает работу с редакциями и аналитику; редактор ведёт тексты и выпуск роликов; администратор обрабатывает заявки.</w:t>
      </w:r>
    </w:p>
    <w:p>
      <w:r>
        <w:br w:type="page"/>
      </w:r>
    </w:p>
    <w:p>
      <w:pPr>
        <w:pStyle w:val="Heading1"/>
      </w:pPr>
      <w:r>
        <w:t>Освещение форума 2 и 3 октября</w:t>
      </w:r>
    </w:p>
    <w:p>
      <w:r>
        <w:t>Время мероприятий ниже перенесено из проекта исходной программы. Форматы освещения предложены для согласования с оргкомитетом.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816"/>
        <w:gridCol w:w="4464"/>
      </w:tblGrid>
      <w:tr>
        <w:trPr>
          <w:cantSplit/>
          <w:tblHeader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Время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Мероприятие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Работа пресс-группы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2 октября</w:t>
              <w:br/>
              <w:t>09:00–10:00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Регистрация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Кадры прибытия, короткие интервью с согласия участников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10:00–10:40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Открытие форума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Основной видеосигнал или запись; выступление В А Мельниченко предусмотрено проектом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10:50–13:10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Параллельно столы 1–4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Запись обсуждений; комментарии модераторов после сессии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13:10–14:10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Обед и выставка практик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Репортаж о кооперативах, переработке и технике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14:10–16:30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Параллельно столы 5–7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Запись обсуждений и сбор согласованных предложений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16:40–17:40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Редакционная группа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Сверка формулировок; спорные вопросы не объявляем решениями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17:45–18:30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Итоговое собрание дня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Обзор семи столов и повестки следующего дня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3 октября</w:t>
              <w:br/>
              <w:t>10:00–12:30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Пленарное заседание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Основная трансляция при технической готовности или видеозапись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13:30–15:30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Рабочая встреча с представителями федеральных органов по проекту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Состав и доступ прессы подтверждает оргкомитет; интервью по завершении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16:00–17:00</w:t>
            </w:r>
          </w:p>
        </w:tc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Принятие резолюции по проекту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Публикация итогов после подтверждения принятого текста</w:t>
            </w:r>
          </w:p>
        </w:tc>
      </w:tr>
    </w:tbl>
    <w:p>
      <w:pPr>
        <w:spacing w:after="0"/>
      </w:pPr>
    </w:p>
    <w:p>
      <w:r>
        <w:t>Четыре параллельных стола требуют отдельных средств записи и закреплённого ответственного в каждом помещении. Одна съёмочная группа не обеспечивает полную запись всех дискуссий. Базовый вариант: отдельная запись звука и доступного видео по залам, одна мобильная группа для интервью, основной видеосигнал открытия и итогов.</w:t>
      </w:r>
    </w:p>
    <w:p>
      <w:r>
        <w:t>Видеотрансляцию объявляем после проверки оборудования, подключения и разрешений. При отсутствии устойчивого сигнала публикуем записи. В каждом итоговом материале различаем предложение участника, согласованную позицию стола и принятую резолюцию.</w:t>
      </w:r>
    </w:p>
    <w:p>
      <w:r>
        <w:br w:type="page"/>
      </w:r>
    </w:p>
    <w:p>
      <w:pPr>
        <w:pStyle w:val="Heading1"/>
        <w:spacing w:after="100" w:line="240" w:lineRule="auto"/>
      </w:pPr>
      <w:r>
        <w:t>Объём работ и контроль результата</w:t>
      </w:r>
    </w:p>
    <w:p>
      <w:pPr>
        <w:spacing w:after="100" w:line="240" w:lineRule="auto"/>
      </w:pPr>
      <w:r>
        <w:rPr>
          <w:sz w:val="21"/>
        </w:rPr>
        <w:t>Предлагаемый базовый объём кампании: общий анонс, одно обращение организатора, семь тематических выпусков, четырнадцать коротких фрагментов, два итоговых обзора по дням и один материал о принятой резолюции. Количество выходов на партнёрских площадках фиксируется отдельно после согласования.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6768"/>
      </w:tblGrid>
      <w:tr>
        <w:trPr>
          <w:cantSplit/>
          <w:tblHeader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Что измеряем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AF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Как учитываем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Публикации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Площадка, дата, ссылка, формат, фактический выход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Просмотры и переходы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Статистика публикации и отслеживаемая ссылка партнёра; без сложения в уникальную аудиторию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Регистрации и участие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Уникальные заявки, выбранные столы, подтверждение и фактическое присутствие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Материалы к столам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Количество пригодных случаев с цифрами и сформулированным предложением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Результаты форума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Согласованные предложения, принятый текст резолюции, ответственные и сроки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Работа после форума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0"/>
              </w:rPr>
              <w:t>Направленные обращения, полученные ответы и выполненные действия</w:t>
            </w:r>
          </w:p>
        </w:tc>
      </w:tr>
    </w:tbl>
    <w:p>
      <w:pPr>
        <w:spacing w:after="100" w:line="240" w:lineRule="auto"/>
      </w:pPr>
    </w:p>
    <w:p>
      <w:pPr>
        <w:spacing w:after="100" w:line="240" w:lineRule="auto"/>
      </w:pPr>
      <w:r>
        <w:rPr>
          <w:sz w:val="21"/>
        </w:rPr>
        <w:t>План по числу участников устанавливаем по подтверждённой вместимости и распределению залов. Указанные в исходнике помещения на 30–60 человек являются планировочным ориентиром, а не основанием обещать общий охват или число посетителей.</w:t>
      </w:r>
    </w:p>
    <w:p>
      <w:pPr>
        <w:pStyle w:val="Heading1"/>
        <w:spacing w:after="100" w:line="240" w:lineRule="auto"/>
      </w:pPr>
      <w:r>
        <w:t>Ресурсное обеспечение</w:t>
      </w:r>
    </w:p>
    <w:p>
      <w:pPr>
        <w:spacing w:after="100" w:line="240" w:lineRule="auto"/>
      </w:pPr>
      <w:r>
        <w:rPr>
          <w:sz w:val="21"/>
        </w:rPr>
        <w:t>В рабочую смету включаем редактуру и координацию, дизайн, монтаж, запись по залам, оборудование, связь и обработку заявок. По каждой позиции фиксируем объём, исполнителя, денежную стоимость либо подтверждённый вклад партнёра. Партнёрские размещения считаем безденежными только после договорённости с редакцией; сумму бюджета утверждаем по полученным предложениям.</w:t>
      </w:r>
    </w:p>
    <w:p>
      <w:pPr>
        <w:pStyle w:val="Heading1"/>
        <w:spacing w:after="100" w:line="240" w:lineRule="auto"/>
      </w:pPr>
      <w:r>
        <w:t>Ближайшие действия оргкомитета</w:t>
      </w:r>
    </w:p>
    <w:p>
      <w:pPr>
        <w:spacing w:after="100" w:line="240" w:lineRule="auto"/>
      </w:pPr>
      <w:r>
        <w:rPr>
          <w:sz w:val="21"/>
        </w:rPr>
        <w:t>19–20 сентября назначить медиакоординатора, подтвердить место проведения и канал регистрации; решить вопрос о столе 5; закрепить модераторов и ответственных за запись. Затем согласовать с регулярными площадками конкретные даты и форматы. Не позднее 21 сентября подготовить пакет анонса и форму сбора материалов.</w:t>
      </w:r>
    </w:p>
    <w:p>
      <w:pPr>
        <w:pStyle w:val="Heading1"/>
        <w:spacing w:after="100" w:line="240" w:lineRule="auto"/>
      </w:pPr>
      <w:r>
        <w:t>Текст первого анонса</w:t>
      </w:r>
    </w:p>
    <w:p>
      <w:pPr>
        <w:spacing w:after="100" w:line="240" w:lineRule="auto"/>
      </w:pPr>
      <w:r>
        <w:rPr>
          <w:sz w:val="21"/>
        </w:rPr>
        <w:t>2–3 октября 2026 года в Москве запланирован форум Аграрно-промышленного союза «Село России — продовольственная безопасность и возрождение промышленности». В проекте программы — семь круглых столов о доходах хозяйств, кредитах и издержках, кооперации, отечественной технике, переработке, правилах работы на земле и жизни сельских территорий. Приглашаем представить практический случай с цифрами и предложением решения. 3 октября проектом предусмотрены пленарное обсуждение и принятие резолюции. Уточнённые условия участия и регистрация — в сообщениях оргкомитета.</w:t>
      </w:r>
    </w:p>
    <w:p>
      <w:pPr>
        <w:spacing w:after="100" w:line="240" w:lineRule="auto"/>
      </w:pPr>
      <w:r>
        <w:rPr>
          <w:sz w:val="21"/>
        </w:rPr>
        <w:t>Перед размещением анонса добавляем действующую ссылку или контакт для регистрации. Имена участников, адрес и онлайн-формат включаем после подтверждения.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Форум Сельсовет • 2–3 октября 2026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