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rPr/>
        <w:t>ПРОГРАММА НАРОДНОГО САМОРАЗВИТИЯ</w:t>
      </w:r>
    </w:p>
    <w:p>
      <w:pPr>
        <w:pStyle w:val="Title"/>
        <w:spacing w:before="880" w:after="60"/>
      </w:pPr>
      <w:r>
        <w:rPr/>
        <w:t>ФЕНИКС</w:t>
      </w:r>
    </w:p>
    <w:p>
      <w:pPr>
        <w:pStyle w:val="Title"/>
      </w:pPr>
      <w:r>
        <w:rPr>
          <w:color w:val="B17C31"/>
          <w:sz w:val="68"/>
        </w:rPr>
        <w:t>ОСНОВЫ</w:t>
      </w:r>
    </w:p>
    <w:p>
      <w:pPr>
        <w:pStyle w:val="Subtitle"/>
        <w:spacing w:after="540"/>
      </w:pPr>
      <w:r>
        <w:rPr/>
        <w:t>Базовый документ</w:t>
        <w:br/>
        <w:t>эволюционной системы</w:t>
      </w:r>
    </w:p>
    <w:p>
      <w:pPr>
        <w:pStyle w:val="Lead"/>
      </w:pPr>
      <w:r>
        <w:rPr/>
        <w:t>Знания и энергия  /  Культура и наука</w:t>
      </w:r>
    </w:p>
    <w:p>
      <w:pPr>
        <w:pStyle w:val="Lead"/>
        <w:spacing w:before="540" w:after="720" w:line="324" w:lineRule="auto"/>
      </w:pPr>
      <w:r>
        <w:rPr>
          <w:color w:val="173B50"/>
          <w:sz w:val="34"/>
        </w:rPr>
        <w:t>Человек выбирает.</w:t>
        <w:br/>
        <w:t>Культура раскрывает смысл.</w:t>
        <w:br/>
        <w:t>Наука проверяет.</w:t>
        <w:br/>
        <w:t>Практика создаёт.</w:t>
        <w:br/>
        <w:t>Опыт становится знанием.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381"/>
        <w:gridCol w:w="7228"/>
      </w:tblGrid>
      <w:tr>
        <w:trPr>
          <w:tblHeader w:val="true"/>
          <w:cantSplit/>
        </w:trPr>
        <w:tc>
          <w:tcPr>
            <w:tcW w:type="dxa" w:w="238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Документ</w:t>
            </w:r>
          </w:p>
        </w:tc>
        <w:tc>
          <w:tcPr>
            <w:tcW w:type="dxa" w:w="7228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Рабочие сведения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Код и редакция</w:t>
            </w:r>
          </w:p>
        </w:tc>
        <w:tc>
          <w:tcPr>
            <w:tcW w:type="dxa" w:w="72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FEN-BAS-001 · 1.0 · 17 сентября 2026 года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Назначение</w:t>
            </w:r>
          </w:p>
        </w:tc>
        <w:tc>
          <w:tcPr>
            <w:tcW w:type="dxa" w:w="722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Общие принципы, язык и порядок совместной работы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Связь с серией</w:t>
            </w:r>
          </w:p>
        </w:tc>
        <w:tc>
          <w:tcPr>
            <w:tcW w:type="dxa" w:w="72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«Эволюционная система» · «Конструктор идеального эталона» · «Культура и наука»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Small"/>
      </w:pPr>
      <w:r>
        <w:rPr/>
        <w:t>Рабочая концепция для обсуждения и согласования. Не является нормативным актом, утверждённой государственной программой или свидетельством о квалификации.</w:t>
      </w:r>
    </w:p>
    <w:p>
      <w:r>
        <w:br w:type="page"/>
      </w:r>
    </w:p>
    <w:p>
      <w:pPr>
        <w:pStyle w:val="Eyebrow"/>
      </w:pPr>
      <w:r>
        <w:rPr/>
        <w:t>ПАСПОРТ ДОКУМЕНТА</w:t>
      </w:r>
    </w:p>
    <w:p>
      <w:bookmarkStart w:id="1" w:name="passport"/>
      <w:pPr>
        <w:pStyle w:val="Heading1"/>
      </w:pPr>
      <w:r>
        <w:rPr/>
        <w:t>Как пользоваться «Основами»</w:t>
      </w:r>
      <w:bookmarkEnd w:id="1"/>
    </w:p>
    <w:p>
      <w:r>
        <w:rPr/>
        <w:t>«Основы» задают общий смысл и правила ФЕНИКС. Они не заменяют учебные модули и инструкции: участник выбирает направление, наставник помогает организовать работу, а конкретные требования закрепляются в паспорте проекта.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4706"/>
        <w:gridCol w:w="4904"/>
      </w:tblGrid>
      <w:tr>
        <w:trPr>
          <w:tblHeader w:val="true"/>
          <w:cantSplit/>
        </w:trPr>
        <w:tc>
          <w:tcPr>
            <w:tcW w:type="dxa" w:w="4706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закрепляется здесь</w:t>
            </w:r>
          </w:p>
        </w:tc>
        <w:tc>
          <w:tcPr>
            <w:tcW w:type="dxa" w:w="490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Где раскрывается подробно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Принципы и права участника</w:t>
            </w:r>
          </w:p>
        </w:tc>
        <w:tc>
          <w:tcPr>
            <w:tcW w:type="dxa" w:w="490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«Основы» — настоящий документ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Устройство программы и маршрут</w:t>
            </w:r>
          </w:p>
        </w:tc>
        <w:tc>
          <w:tcPr>
            <w:tcW w:type="dxa" w:w="490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«ФЕНИКС — Эволюционная система»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Требования, проверка и версии</w:t>
            </w:r>
          </w:p>
        </w:tc>
        <w:tc>
          <w:tcPr>
            <w:tcW w:type="dxa" w:w="490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«Конструктор идеального эталона»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Культурная и исследовательская практика</w:t>
            </w:r>
          </w:p>
        </w:tc>
        <w:tc>
          <w:tcPr>
            <w:tcW w:type="dxa" w:w="490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«Основы саморазвития. Культура и наука»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Отраслевые правовые вопросы</w:t>
            </w:r>
          </w:p>
        </w:tc>
        <w:tc>
          <w:tcPr>
            <w:tcW w:type="dxa" w:w="490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«Основы законодательства по направлениям»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Навигация по документу</w:t>
      </w:r>
    </w:p>
    <w:p>
      <w:pPr>
        <w:pStyle w:val="Small"/>
        <w:spacing w:after="60"/>
      </w:pPr>
      <w:r>
        <w:t xml:space="preserve">01  </w:t>
      </w:r>
      <w:hyperlink w:anchor="meaning">
        <w:r>
          <w:rPr>
            <w:color w:val="266865"/>
            <w:u w:val="single"/>
            <w:sz w:val="19"/>
          </w:rPr>
          <w:t>Смысл ФЕНИКС</w:t>
        </w:r>
      </w:hyperlink>
      <w:r>
        <w:t xml:space="preserve">  ·  3</w:t>
      </w:r>
    </w:p>
    <w:p>
      <w:pPr>
        <w:pStyle w:val="Small"/>
        <w:spacing w:after="60"/>
      </w:pPr>
      <w:r>
        <w:t xml:space="preserve">02  </w:t>
      </w:r>
      <w:hyperlink w:anchor="principles">
        <w:r>
          <w:rPr>
            <w:color w:val="266865"/>
            <w:u w:val="single"/>
            <w:sz w:val="19"/>
          </w:rPr>
          <w:t>Двенадцать основных принципов</w:t>
        </w:r>
      </w:hyperlink>
      <w:r>
        <w:t xml:space="preserve">  ·  4–5</w:t>
      </w:r>
    </w:p>
    <w:p>
      <w:pPr>
        <w:pStyle w:val="Small"/>
        <w:spacing w:after="60"/>
      </w:pPr>
      <w:r>
        <w:t xml:space="preserve">03  </w:t>
      </w:r>
      <w:hyperlink w:anchor="person">
        <w:r>
          <w:rPr>
            <w:color w:val="266865"/>
            <w:u w:val="single"/>
            <w:sz w:val="19"/>
          </w:rPr>
          <w:t>Человек и 13 контуров развития</w:t>
        </w:r>
      </w:hyperlink>
      <w:r>
        <w:t xml:space="preserve">  ·  6–7</w:t>
      </w:r>
    </w:p>
    <w:p>
      <w:pPr>
        <w:pStyle w:val="Small"/>
        <w:spacing w:after="60"/>
      </w:pPr>
      <w:r>
        <w:t xml:space="preserve">04  </w:t>
      </w:r>
      <w:hyperlink w:anchor="culture">
        <w:r>
          <w:rPr>
            <w:color w:val="266865"/>
            <w:u w:val="single"/>
            <w:sz w:val="19"/>
          </w:rPr>
          <w:t>Культура и наука</w:t>
        </w:r>
      </w:hyperlink>
      <w:r>
        <w:t xml:space="preserve">  ·  8</w:t>
      </w:r>
    </w:p>
    <w:p>
      <w:pPr>
        <w:pStyle w:val="Small"/>
        <w:spacing w:after="60"/>
      </w:pPr>
      <w:r>
        <w:t xml:space="preserve">05  </w:t>
      </w:r>
      <w:hyperlink w:anchor="energy">
        <w:r>
          <w:rPr>
            <w:color w:val="266865"/>
            <w:u w:val="single"/>
            <w:sz w:val="19"/>
          </w:rPr>
          <w:t>Знания и энергия</w:t>
        </w:r>
      </w:hyperlink>
      <w:r>
        <w:t xml:space="preserve">  ·  9</w:t>
      </w:r>
    </w:p>
    <w:p>
      <w:pPr>
        <w:pStyle w:val="Small"/>
        <w:spacing w:after="60"/>
      </w:pPr>
      <w:r>
        <w:t xml:space="preserve">06  </w:t>
      </w:r>
      <w:hyperlink w:anchor="cycle">
        <w:r>
          <w:rPr>
            <w:color w:val="266865"/>
            <w:u w:val="single"/>
            <w:sz w:val="19"/>
          </w:rPr>
          <w:t>Пять этапов развития</w:t>
        </w:r>
      </w:hyperlink>
      <w:r>
        <w:t xml:space="preserve">  ·  10</w:t>
      </w:r>
    </w:p>
    <w:p>
      <w:pPr>
        <w:pStyle w:val="Small"/>
        <w:spacing w:after="60"/>
      </w:pPr>
      <w:r>
        <w:t xml:space="preserve">07  </w:t>
      </w:r>
      <w:hyperlink w:anchor="community">
        <w:r>
          <w:rPr>
            <w:color w:val="266865"/>
            <w:u w:val="single"/>
            <w:sz w:val="19"/>
          </w:rPr>
          <w:t>Совместная работа и ответственность</w:t>
        </w:r>
      </w:hyperlink>
      <w:r>
        <w:t xml:space="preserve">  ·  11</w:t>
      </w:r>
    </w:p>
    <w:p>
      <w:pPr>
        <w:pStyle w:val="Small"/>
        <w:spacing w:after="60"/>
      </w:pPr>
      <w:r>
        <w:t xml:space="preserve">08  </w:t>
      </w:r>
      <w:hyperlink w:anchor="directions">
        <w:r>
          <w:rPr>
            <w:color w:val="266865"/>
            <w:u w:val="single"/>
            <w:sz w:val="19"/>
          </w:rPr>
          <w:t>19 направлений практики</w:t>
        </w:r>
      </w:hyperlink>
      <w:r>
        <w:t xml:space="preserve">  ·  12–13</w:t>
      </w:r>
    </w:p>
    <w:p>
      <w:pPr>
        <w:pStyle w:val="Small"/>
        <w:spacing w:after="60"/>
      </w:pPr>
      <w:r>
        <w:t xml:space="preserve">09  </w:t>
      </w:r>
      <w:hyperlink w:anchor="constructor">
        <w:r>
          <w:rPr>
            <w:color w:val="266865"/>
            <w:u w:val="single"/>
            <w:sz w:val="19"/>
          </w:rPr>
          <w:t>Конструктор результата: 13 полей и 20 проверок</w:t>
        </w:r>
      </w:hyperlink>
      <w:r>
        <w:t xml:space="preserve">  ·  14–15</w:t>
      </w:r>
    </w:p>
    <w:p>
      <w:pPr>
        <w:pStyle w:val="Small"/>
        <w:spacing w:after="60"/>
      </w:pPr>
      <w:r>
        <w:t xml:space="preserve">10  </w:t>
      </w:r>
      <w:hyperlink w:anchor="balances">
        <w:r>
          <w:rPr>
            <w:color w:val="266865"/>
            <w:u w:val="single"/>
            <w:sz w:val="19"/>
          </w:rPr>
          <w:t>Балансы, Архив и ЭКВИЛИБРИУМ</w:t>
        </w:r>
      </w:hyperlink>
      <w:r>
        <w:t xml:space="preserve">  ·  16</w:t>
      </w:r>
    </w:p>
    <w:p>
      <w:pPr>
        <w:pStyle w:val="Small"/>
        <w:spacing w:after="60"/>
      </w:pPr>
      <w:r>
        <w:t xml:space="preserve">11  </w:t>
      </w:r>
      <w:hyperlink w:anchor="law">
        <w:r>
          <w:rPr>
            <w:color w:val="266865"/>
            <w:u w:val="single"/>
            <w:sz w:val="19"/>
          </w:rPr>
          <w:t>Российская и международная часть</w:t>
        </w:r>
      </w:hyperlink>
      <w:r>
        <w:t xml:space="preserve">  ·  17–18</w:t>
      </w:r>
    </w:p>
    <w:p>
      <w:pPr>
        <w:pStyle w:val="Small"/>
        <w:spacing w:after="60"/>
      </w:pPr>
      <w:r>
        <w:t xml:space="preserve">12  </w:t>
      </w:r>
      <w:hyperlink w:anchor="launch">
        <w:r>
          <w:rPr>
            <w:color w:val="266865"/>
            <w:u w:val="single"/>
            <w:sz w:val="19"/>
          </w:rPr>
          <w:t>Первый цикл работы</w:t>
        </w:r>
      </w:hyperlink>
      <w:r>
        <w:t xml:space="preserve">  ·  19</w:t>
      </w:r>
    </w:p>
    <w:p>
      <w:pPr>
        <w:pStyle w:val="Small"/>
      </w:pPr>
      <w:r>
        <w:rPr/>
        <w:t>Приложения: личный лист — с. 20; паспорт проекта — с. 21; протокол решения — с. 22; разобранный пример — с. 23; словарь и преемственность — с. 24; источники — с. 25–26.</w:t>
      </w:r>
    </w:p>
    <w:p>
      <w:pPr>
        <w:pStyle w:val="Small"/>
      </w:pPr>
      <w:r>
        <w:rPr/>
        <w:t>Классификаторы P01–P13, D01–D19, M01–M13 и Q01–Q20 сохранены из предыдущих документов серии. Новые положения этой редакции предлагаются к согласованию, а не считаются автоматически принятыми.</w:t>
      </w:r>
    </w:p>
    <w:p>
      <w:r>
        <w:br w:type="page"/>
      </w:r>
    </w:p>
    <w:p>
      <w:pPr>
        <w:pStyle w:val="Eyebrow"/>
      </w:pPr>
      <w:r>
        <w:rPr/>
        <w:t>01 / СМЫСЛ</w:t>
      </w:r>
    </w:p>
    <w:p>
      <w:bookmarkStart w:id="2" w:name="meaning"/>
      <w:pPr>
        <w:pStyle w:val="Heading1"/>
      </w:pPr>
      <w:r>
        <w:rPr/>
        <w:t>Что такое ФЕНИКС</w:t>
      </w:r>
      <w:bookmarkEnd w:id="2"/>
    </w:p>
    <w:p>
      <w:pPr>
        <w:pStyle w:val="Lead"/>
      </w:pPr>
      <w:r>
        <w:rPr/>
        <w:t>ФЕНИКС — проект добровольной системы саморазвития, в которой человек превращает собственный вопрос в знания, практическое действие и опыт, доступный для дальнейшего использования.</w:t>
      </w:r>
    </w:p>
    <w:p>
      <w:pPr>
        <w:pStyle w:val="Heading2"/>
      </w:pPr>
      <w:r>
        <w:rPr/>
        <w:t>Не единый образ человека, а возможность собственного пути</w:t>
      </w:r>
    </w:p>
    <w:p>
      <w:r>
        <w:rPr/>
        <w:t>Задача системы — помочь человеку понять, чему он хочет научиться, что способен сделать в доступных условиях и какая поддержка ему нужна. Цель нельзя назначить вместо участника. Она может быть небольшой: прочитать и осмыслить текст, освоить инструмент, описать семейную историю, проверить расчёт или подготовить полезную работу для своего места жизни.</w:t>
      </w:r>
    </w:p>
    <w:p>
      <w:r>
        <w:rPr/>
        <w:t>В этой модели саморазвитие не сводится к накоплению информации, посещению мероприятий или сравнению себя с другими. Оно получает практическое выражение, когда участник может показать работу, объяснить свой выбор и назвать следующий шаг. Такой подход не требует одинакового темпа и не связывает достоинство человека с производительностью.</w:t>
      </w:r>
    </w:p>
    <w:p>
      <w:pPr>
        <w:pStyle w:val="Heading2"/>
      </w:pPr>
      <w:r>
        <w:rPr/>
        <w:t>Почему система названа эволюционной</w:t>
      </w:r>
    </w:p>
    <w:p>
      <w:r>
        <w:rPr/>
        <w:t>Здесь эволюционность означает последовательное обновление способов действия: выбрать задачу, попробовать, увидеть ограничения, исправить и передать опыт. Это рабочее определение организационной модели. Оно не утверждает существования особой биологической иерархии людей или доказанного изменения физических свойств человека.</w:t>
      </w:r>
    </w:p>
    <w:p>
      <w:pPr>
        <w:pStyle w:val="Heading2"/>
      </w:pPr>
      <w:r>
        <w:rPr/>
        <w:t>Что связывает человека и общее дело</w:t>
      </w:r>
    </w:p>
    <w:p>
      <w:r>
        <w:rPr/>
        <w:t>Личный результат остаётся результатом участника. Вклад в семью, сообщество или территорию возникает там, где другие люди подтверждают потребность и добровольно договариваются о совместной работе. Масштабирование означает перенос проверенного способа с адаптацией к новым условиям, а не механическое увеличение числа участников.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Рабочая формула ФЕНИКС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Личный выбор → знания → практика с поддержкой → проверяемый результат → сохранение и передача опыта → следующий цикл.</w:t>
            </w:r>
          </w:p>
        </w:tc>
      </w:tr>
    </w:tbl>
    <w:p>
      <w:pPr>
        <w:spacing w:after="20"/>
      </w:pPr>
    </w:p>
    <w:p>
      <w:pPr>
        <w:pStyle w:val="Small"/>
      </w:pPr>
      <w:r>
        <w:rPr/>
        <w:t>Критерий состоятельности программы — качество доступной человеку поддержки и выполненной работы. Охват, известность и число публикаций учитываются отдельно и не подменяют этот критерий.</w:t>
      </w:r>
    </w:p>
    <w:p>
      <w:r>
        <w:br w:type="page"/>
      </w:r>
    </w:p>
    <w:p>
      <w:pPr>
        <w:pStyle w:val="Eyebrow"/>
      </w:pPr>
      <w:r>
        <w:rPr/>
        <w:t>02 / ПРИНЦИПЫ · 1–6</w:t>
      </w:r>
    </w:p>
    <w:p>
      <w:bookmarkStart w:id="3" w:name="principles"/>
      <w:pPr>
        <w:pStyle w:val="Heading1"/>
      </w:pPr>
      <w:r>
        <w:rPr/>
        <w:t>Человек, свобода и знание</w:t>
      </w:r>
      <w:bookmarkEnd w:id="3"/>
    </w:p>
    <w:p>
      <w:pPr>
        <w:pStyle w:val="Lead"/>
      </w:pPr>
      <w:r>
        <w:rPr/>
        <w:t>Двенадцать принципов ниже предлагаются как общая основа всех модулей ФЕНИКС. Для каждого указано наблюдаемое правило, а не только намерение.</w:t>
      </w:r>
    </w:p>
    <w:p>
      <w:pPr>
        <w:pStyle w:val="Heading2"/>
      </w:pPr>
      <w:r>
        <w:rPr/>
        <w:t>01. Достоинство человека</w:t>
      </w:r>
    </w:p>
    <w:p>
      <w:r>
        <w:rPr/>
        <w:t>Человек не является материалом программы и не обязан доказывать право на уважение результатами обучения.</w:t>
      </w:r>
    </w:p>
    <w:p>
      <w:pPr>
        <w:spacing w:after="140"/>
      </w:pPr>
      <w:r>
        <w:rPr/>
        <w:t>В работе: Оценивается конкретная работа по согласованным критериям; общей шкалы «ценности человека» нет.</w:t>
      </w:r>
    </w:p>
    <w:p>
      <w:pPr>
        <w:pStyle w:val="Heading2"/>
      </w:pPr>
      <w:r>
        <w:rPr/>
        <w:t>02. Добровольный выбор</w:t>
      </w:r>
    </w:p>
    <w:p>
      <w:r>
        <w:rPr/>
        <w:t>Участник выбирает задачу, допустимую нагрузку и глубину личного раскрытия.</w:t>
      </w:r>
    </w:p>
    <w:p>
      <w:pPr>
        <w:spacing w:after="140"/>
      </w:pPr>
      <w:r>
        <w:rPr/>
        <w:t>В работе: Правила участия, паузы и выхода сообщаются до начала. Отказ от публичного выступления не отменяет сделанной работы.</w:t>
      </w:r>
    </w:p>
    <w:p>
      <w:pPr>
        <w:pStyle w:val="Heading2"/>
      </w:pPr>
      <w:r>
        <w:rPr/>
        <w:t>03. Доступность пути</w:t>
      </w:r>
    </w:p>
    <w:p>
      <w:r>
        <w:rPr/>
        <w:t>Форма работы подбирается к реальным возможностям человека, а не наоборот.</w:t>
      </w:r>
    </w:p>
    <w:p>
      <w:pPr>
        <w:spacing w:after="140"/>
      </w:pPr>
      <w:r>
        <w:rPr/>
        <w:t>В работе: Предусматриваются понятный язык, бумажная форма, адаптация темпа и обсуждение необходимой помощи.</w:t>
      </w:r>
    </w:p>
    <w:p>
      <w:pPr>
        <w:pStyle w:val="Heading2"/>
      </w:pPr>
      <w:r>
        <w:rPr/>
        <w:t>04. Культурная укоренённость и диалог</w:t>
      </w:r>
    </w:p>
    <w:p>
      <w:r>
        <w:rPr/>
        <w:t>Память, язык, искусство и традиции становятся материалом осмысленного изучения.</w:t>
      </w:r>
    </w:p>
    <w:p>
      <w:pPr>
        <w:spacing w:after="140"/>
      </w:pPr>
      <w:r>
        <w:rPr/>
        <w:t>В работе: Авторская интерпретация отделяется от документального сведения; разные прочтения обсуждаются без унижения.</w:t>
      </w:r>
    </w:p>
    <w:p>
      <w:pPr>
        <w:pStyle w:val="Heading2"/>
      </w:pPr>
      <w:r>
        <w:rPr/>
        <w:t>05. Проверяемость утверждений</w:t>
      </w:r>
    </w:p>
    <w:p>
      <w:r>
        <w:rPr/>
        <w:t>Уверенное высказывание не заменяет источник, наблюдение или расчёт.</w:t>
      </w:r>
    </w:p>
    <w:p>
      <w:pPr>
        <w:spacing w:after="140"/>
      </w:pPr>
      <w:r>
        <w:rPr/>
        <w:t>В работе: Для существенного вывода записываются основание, границы и степень подтверждения. Неизвестное обозначается прямо.</w:t>
      </w:r>
    </w:p>
    <w:p>
      <w:pPr>
        <w:pStyle w:val="Heading2"/>
      </w:pPr>
      <w:r>
        <w:rPr/>
        <w:t>06. Практика и мастерство</w:t>
      </w:r>
    </w:p>
    <w:p>
      <w:r>
        <w:rPr/>
        <w:t>Знание связывается с действием, которое участник способен объяснить и повторить в описанных условиях.</w:t>
      </w:r>
    </w:p>
    <w:p>
      <w:pPr>
        <w:spacing w:after="140"/>
      </w:pPr>
      <w:r>
        <w:rPr/>
        <w:t>В работе: Вместо отчёта только о посещаемости сохраняется работа: текст, эскиз, журнал, расчёт, изделие или инструкция.</w:t>
      </w:r>
    </w:p>
    <w:p>
      <w:r>
        <w:br w:type="page"/>
      </w:r>
    </w:p>
    <w:p>
      <w:pPr>
        <w:pStyle w:val="Eyebrow"/>
      </w:pPr>
      <w:r>
        <w:rPr/>
        <w:t>02 / ПРИНЦИПЫ · 7–12</w:t>
      </w:r>
    </w:p>
    <w:p>
      <w:pPr>
        <w:pStyle w:val="Heading1"/>
      </w:pPr>
      <w:r>
        <w:rPr/>
        <w:t>Ответственность и продолжение</w:t>
      </w:r>
    </w:p>
    <w:p>
      <w:pPr>
        <w:pStyle w:val="Heading2"/>
      </w:pPr>
      <w:r>
        <w:rPr/>
        <w:t>07. Соразмерность ресурсов</w:t>
      </w:r>
    </w:p>
    <w:p>
      <w:r>
        <w:rPr/>
        <w:t>Задача должна соответствовать времени, поддержке, материалам и средствам, которыми действительно можно распорядиться.</w:t>
      </w:r>
    </w:p>
    <w:p>
      <w:r>
        <w:rPr/>
        <w:t>В работе: План и факт различаются. Неподтверждённое обещание не считается ресурсом.</w:t>
      </w:r>
    </w:p>
    <w:p>
      <w:pPr>
        <w:pStyle w:val="Heading2"/>
      </w:pPr>
      <w:r>
        <w:rPr/>
        <w:t>08. Безопасность прежде масштаба</w:t>
      </w:r>
    </w:p>
    <w:p>
      <w:r>
        <w:rPr/>
        <w:t>Рост проекта не оправдывает опасные действия и работу без необходимых оснований.</w:t>
      </w:r>
    </w:p>
    <w:p>
      <w:r>
        <w:rPr/>
        <w:t>В работе: Заранее названы границы, ответственный и условия остановки; незакрытый критический риск блокирует соответствующий шаг.</w:t>
      </w:r>
    </w:p>
    <w:p>
      <w:pPr>
        <w:pStyle w:val="Heading2"/>
      </w:pPr>
      <w:r>
        <w:rPr/>
        <w:t>09. Сотрудничество без присвоения</w:t>
      </w:r>
    </w:p>
    <w:p>
      <w:r>
        <w:rPr/>
        <w:t>Общее дело строится на ясных ролях, согласии и уважении авторства.</w:t>
      </w:r>
    </w:p>
    <w:p>
      <w:r>
        <w:rPr/>
        <w:t>В работе: Вклад участника фиксируется; публикация, использование материалов и возможные расходы согласуются отдельно.</w:t>
      </w:r>
    </w:p>
    <w:p>
      <w:pPr>
        <w:pStyle w:val="Heading2"/>
      </w:pPr>
      <w:r>
        <w:rPr/>
        <w:t>10. Ответственность за последствия</w:t>
      </w:r>
    </w:p>
    <w:p>
      <w:r>
        <w:rPr/>
        <w:t>Результат одного направления рассматривается вместе с воздействием на другие.</w:t>
      </w:r>
    </w:p>
    <w:p>
      <w:r>
        <w:rPr/>
        <w:t>В работе: Экономия средств проверяется на влияние на доступность, безопасность, нагрузку людей и состояние среды.</w:t>
      </w:r>
    </w:p>
    <w:p>
      <w:pPr>
        <w:pStyle w:val="Heading2"/>
      </w:pPr>
      <w:r>
        <w:rPr/>
        <w:t>11. Сохранение опыта</w:t>
      </w:r>
    </w:p>
    <w:p>
      <w:r>
        <w:rPr/>
        <w:t>Итог, исходные записи и ограничения образуют память проекта.</w:t>
      </w:r>
    </w:p>
    <w:p>
      <w:r>
        <w:rPr/>
        <w:t>В работе: В Архив передаётся карточка с авторством, источниками, версией и режимом доступа; личное не становится открытым по умолчанию.</w:t>
      </w:r>
    </w:p>
    <w:p>
      <w:pPr>
        <w:pStyle w:val="Heading2"/>
      </w:pPr>
      <w:r>
        <w:rPr/>
        <w:t>12. Право на пересмотр</w:t>
      </w:r>
    </w:p>
    <w:p>
      <w:r>
        <w:rPr/>
        <w:t>Ошибка и изменение потребности требуют корректировки, а не защиты старого решения любой ценой.</w:t>
      </w:r>
    </w:p>
    <w:p>
      <w:r>
        <w:rPr/>
        <w:t>В работе: Есть канал замечаний, история версий и понятный порядок изменения критериев до следующего цикла.</w:t>
      </w:r>
    </w:p>
    <w:p>
      <w:pPr>
        <w:pStyle w:val="Small"/>
      </w:pPr>
      <w:r>
        <w:rPr/>
        <w:t>Разногласие с автором или наставником само по себе не является нарушением. Существенны действия, соблюдение договорённостей и возможность безопасного обсуждения.</w:t>
      </w:r>
    </w:p>
    <w:p>
      <w:r>
        <w:br w:type="page"/>
      </w:r>
    </w:p>
    <w:p>
      <w:pPr>
        <w:pStyle w:val="Eyebrow"/>
      </w:pPr>
      <w:r>
        <w:rPr/>
        <w:t>03 / ЧЕЛОВЕК · P01–P07</w:t>
      </w:r>
    </w:p>
    <w:p>
      <w:bookmarkStart w:id="4" w:name="person"/>
      <w:pPr>
        <w:pStyle w:val="Heading1"/>
      </w:pPr>
      <w:r>
        <w:rPr/>
        <w:t>13 контуров личного развития</w:t>
      </w:r>
      <w:bookmarkEnd w:id="4"/>
    </w:p>
    <w:p>
      <w:r>
        <w:rPr/>
        <w:t>Контуры — меню самостоятельного выбора, а не ступени «высших» и «низших» людей. Для одного цикла достаточно одного основного контура и одного поддерживающего. Обязательного прохождения всех тринадцати нет.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1984"/>
        <w:gridCol w:w="3487"/>
        <w:gridCol w:w="4139"/>
      </w:tblGrid>
      <w:tr>
        <w:trPr>
          <w:tblHeader w:val="true"/>
          <w:cantSplit/>
        </w:trPr>
        <w:tc>
          <w:tcPr>
            <w:tcW w:type="dxa" w:w="198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Контур</w:t>
            </w:r>
          </w:p>
        </w:tc>
        <w:tc>
          <w:tcPr>
            <w:tcW w:type="dxa" w:w="3487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Содержание выбора</w:t>
            </w:r>
          </w:p>
        </w:tc>
        <w:tc>
          <w:tcPr>
            <w:tcW w:type="dxa" w:w="4139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можно предъявить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P01 / Здоровье</w:t>
            </w:r>
          </w:p>
        </w:tc>
        <w:tc>
          <w:tcPr>
            <w:tcW w:type="dxa" w:w="34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Доступная нагрузка, перерывы и безопасные условия участия.</w:t>
            </w:r>
          </w:p>
        </w:tc>
        <w:tc>
          <w:tcPr>
            <w:tcW w:type="dxa" w:w="413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Согласованный режим и понятный путь к профильной помощи.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P02 / Сознание</w:t>
            </w:r>
          </w:p>
        </w:tc>
        <w:tc>
          <w:tcPr>
            <w:tcW w:type="dxa" w:w="34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Внимание к собственному выбору и действиям.</w:t>
            </w:r>
          </w:p>
        </w:tc>
        <w:tc>
          <w:tcPr>
            <w:tcW w:type="dxa" w:w="413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Участник объясняет, зачем ему выбранная задача.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P03 / Разум</w:t>
            </w:r>
          </w:p>
        </w:tc>
        <w:tc>
          <w:tcPr>
            <w:tcW w:type="dxa" w:w="34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Вопрос, аргумент, различение факта и предположения.</w:t>
            </w:r>
          </w:p>
        </w:tc>
        <w:tc>
          <w:tcPr>
            <w:tcW w:type="dxa" w:w="413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Вывод связан с источником; ограничения названы.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P04 / Эмоции</w:t>
            </w:r>
          </w:p>
        </w:tc>
        <w:tc>
          <w:tcPr>
            <w:tcW w:type="dxa" w:w="34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Самонаблюдение и уважительное обсуждение затруднений.</w:t>
            </w:r>
          </w:p>
        </w:tc>
        <w:tc>
          <w:tcPr>
            <w:tcW w:type="dxa" w:w="413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Есть допустимый для участника способ запросить помощь.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P05 / Навыки</w:t>
            </w:r>
          </w:p>
        </w:tc>
        <w:tc>
          <w:tcPr>
            <w:tcW w:type="dxa" w:w="34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Освоение конкретного повторяемого действия.</w:t>
            </w:r>
          </w:p>
        </w:tc>
        <w:tc>
          <w:tcPr>
            <w:tcW w:type="dxa" w:w="413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Показана работа по заранее известным критериям.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P06 / Образование</w:t>
            </w:r>
          </w:p>
        </w:tc>
        <w:tc>
          <w:tcPr>
            <w:tcW w:type="dxa" w:w="34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маршрут освоения знаний.</w:t>
            </w:r>
          </w:p>
        </w:tc>
        <w:tc>
          <w:tcPr>
            <w:tcW w:type="dxa" w:w="413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Собран набор материалов и определён следующий шаг.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P07 / Труд и мастерство</w:t>
            </w:r>
          </w:p>
        </w:tc>
        <w:tc>
          <w:tcPr>
            <w:tcW w:type="dxa" w:w="34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Качество выполнения и обратная связь.</w:t>
            </w:r>
          </w:p>
        </w:tc>
        <w:tc>
          <w:tcPr>
            <w:tcW w:type="dxa" w:w="413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Образец работы, замечания и исправленная версия.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Как сформулировать личную задачу</w:t>
      </w:r>
    </w:p>
    <w:p>
      <w:r>
        <w:rPr/>
        <w:t>Вместо «стать лучше во всём» — «подготовить карточку семейной вещи с отделением воспоминаний от проверенных сведений». Вместо «разобраться в науке» — «сформулировать вопрос, записать наблюдение и показать, что именно из него следует».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Личный выбор не превращается в анкету мировоззрения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Обсуждаются задача, условия и необходимая поддержка. Диагнозы, убеждения и семейные обстоятельства не собираются ради полноты профиля. Учебный маршрут не заменяет медицинскую или психологическую помощь.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03 / ЧЕЛОВЕК · P08–P13</w:t>
      </w:r>
    </w:p>
    <w:p>
      <w:pPr>
        <w:pStyle w:val="Heading1"/>
      </w:pPr>
      <w:r>
        <w:rPr/>
        <w:t>Личный смысл и общественный вклад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835"/>
        <w:gridCol w:w="3231"/>
        <w:gridCol w:w="3543"/>
      </w:tblGrid>
      <w:tr>
        <w:trPr>
          <w:tblHeader w:val="true"/>
          <w:cantSplit/>
        </w:trPr>
        <w:tc>
          <w:tcPr>
            <w:tcW w:type="dxa" w:w="283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Контур</w:t>
            </w:r>
          </w:p>
        </w:tc>
        <w:tc>
          <w:tcPr>
            <w:tcW w:type="dxa" w:w="323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Содержание выбора</w:t>
            </w:r>
          </w:p>
        </w:tc>
        <w:tc>
          <w:tcPr>
            <w:tcW w:type="dxa" w:w="354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можно предъявить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P08 / Экономика и финансовая самостоятельность</w:t>
            </w:r>
          </w:p>
        </w:tc>
        <w:tc>
          <w:tcPr>
            <w:tcW w:type="dxa" w:w="323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Понимание времени, расходов и обязательств.</w:t>
            </w:r>
          </w:p>
        </w:tc>
        <w:tc>
          <w:tcPr>
            <w:tcW w:type="dxa" w:w="354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Учебная смета с разделением имеющихся и ожидаемых средств.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P09 / Семья и общины</w:t>
            </w:r>
          </w:p>
        </w:tc>
        <w:tc>
          <w:tcPr>
            <w:tcW w:type="dxa" w:w="323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Договорённости и взаимная поддержка.</w:t>
            </w:r>
          </w:p>
        </w:tc>
        <w:tc>
          <w:tcPr>
            <w:tcW w:type="dxa" w:w="354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Совместная задача с добровольно принятыми ролями.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P10 / Творчество и культура</w:t>
            </w:r>
          </w:p>
        </w:tc>
        <w:tc>
          <w:tcPr>
            <w:tcW w:type="dxa" w:w="323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Создание и сохранение культурного опыта.</w:t>
            </w:r>
          </w:p>
        </w:tc>
        <w:tc>
          <w:tcPr>
            <w:tcW w:type="dxa" w:w="354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Текст, ремесленная работа или архивная карточка с авторством.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P11 / Природа и служение Земле</w:t>
            </w:r>
          </w:p>
        </w:tc>
        <w:tc>
          <w:tcPr>
            <w:tcW w:type="dxa" w:w="323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Бережное наблюдение и ответственная практика.</w:t>
            </w:r>
          </w:p>
        </w:tc>
        <w:tc>
          <w:tcPr>
            <w:tcW w:type="dxa" w:w="354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Датированное наблюдение или согласованное действие.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P12 / Духовность</w:t>
            </w:r>
          </w:p>
        </w:tc>
        <w:tc>
          <w:tcPr>
            <w:tcW w:type="dxa" w:w="323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Личные ценности и свобода убеждений.</w:t>
            </w:r>
          </w:p>
        </w:tc>
        <w:tc>
          <w:tcPr>
            <w:tcW w:type="dxa" w:w="354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Содержание выбирает сам участник; раскрытие не требуется.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P13 / Смысл и миссия жизни</w:t>
            </w:r>
          </w:p>
        </w:tc>
        <w:tc>
          <w:tcPr>
            <w:tcW w:type="dxa" w:w="323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Связь намерения с ближайшим реальным шагом.</w:t>
            </w:r>
          </w:p>
        </w:tc>
        <w:tc>
          <w:tcPr>
            <w:tcW w:type="dxa" w:w="354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ответ о пользе задачи, который можно пересмотреть.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Одна задача — несколько связей</w:t>
      </w:r>
    </w:p>
    <w:p>
      <w:r>
        <w:rPr/>
        <w:t>Работа с семейной историей может начинаться в P10 «Творчество и культура», опираться на P03 «Разум» и поддерживать P09 «Семья и общины». Это связи одной работы, а не три отдельных достижения. Они не дают основания оценивать все стороны жизни автора.</w:t>
      </w:r>
    </w:p>
    <w:p>
      <w:pPr>
        <w:pStyle w:val="Heading2"/>
      </w:pPr>
      <w:r>
        <w:rPr/>
        <w:t>Граница наставничества</w:t>
      </w:r>
    </w:p>
    <w:p>
      <w:r>
        <w:rPr/>
        <w:t>Наставник помогает уточнить результат, подобрать материалы и организовать обратную связь. Он не назначает жизненную миссию, не толкует переживания как диагноз и не требует согласия с собственными убеждениями. При выходе задачи за его компетенцию работа передаётся профильному специалисту либо ограничивается безопасным учебным форматом.</w:t>
      </w:r>
    </w:p>
    <w:p>
      <w:pPr>
        <w:pStyle w:val="Small"/>
      </w:pPr>
      <w:r>
        <w:rPr/>
        <w:t>Содержание P12 и P13 не превращается в обязательную отчётность. Участник вправе работать только с практическими контурами и не обсуждать мировоззренческие вопросы.</w:t>
      </w:r>
    </w:p>
    <w:p>
      <w:r>
        <w:br w:type="page"/>
      </w:r>
    </w:p>
    <w:p>
      <w:pPr>
        <w:pStyle w:val="Eyebrow"/>
      </w:pPr>
      <w:r>
        <w:rPr/>
        <w:t>04 / ДВЕ ОПОРЫ</w:t>
      </w:r>
    </w:p>
    <w:p>
      <w:bookmarkStart w:id="5" w:name="culture"/>
      <w:pPr>
        <w:pStyle w:val="Heading1"/>
      </w:pPr>
      <w:r>
        <w:rPr/>
        <w:t>Культура и наука</w:t>
      </w:r>
      <w:bookmarkEnd w:id="5"/>
    </w:p>
    <w:p>
      <w:pPr>
        <w:pStyle w:val="Lead"/>
      </w:pPr>
      <w:r>
        <w:rPr/>
        <w:t>В ФЕНИКС культура помогает поставить вопрос о смысле, контексте и форме работы. Научный подход помогает определить, что известно, как это проверено и где заканчивается вывод.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4805"/>
        <w:gridCol w:w="4805"/>
      </w:tblGrid>
      <w:tr>
        <w:trPr>
          <w:tblHeader w:val="true"/>
          <w:cantSplit/>
        </w:trPr>
        <w:tc>
          <w:tcPr>
            <w:tcW w:type="dxa" w:w="480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1"/>
              </w:rPr>
              <w:t>Культурная работа</w:t>
            </w:r>
          </w:p>
        </w:tc>
        <w:tc>
          <w:tcPr>
            <w:tcW w:type="dxa" w:w="480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1"/>
              </w:rPr>
              <w:t>Исследовательская работа</w:t>
            </w:r>
          </w:p>
        </w:tc>
      </w:tr>
      <w:tr>
        <w:trPr>
          <w:cantSplit/>
        </w:trPr>
        <w:tc>
          <w:tcPr>
            <w:tcW w:type="dxa" w:w="480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1"/>
              </w:rPr>
              <w:t>Язык, память, произведение, ремесло, традиция.</w:t>
            </w:r>
          </w:p>
        </w:tc>
        <w:tc>
          <w:tcPr>
            <w:tcW w:type="dxa" w:w="480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1"/>
              </w:rPr>
              <w:t>Вопрос, источник, наблюдение, метод, данные.</w:t>
            </w:r>
          </w:p>
        </w:tc>
      </w:tr>
      <w:tr>
        <w:trPr>
          <w:cantSplit/>
        </w:trPr>
        <w:tc>
          <w:tcPr>
            <w:tcW w:type="dxa" w:w="480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1"/>
              </w:rPr>
              <w:t>Что это значит для автора и сообщества?</w:t>
            </w:r>
          </w:p>
        </w:tc>
        <w:tc>
          <w:tcPr>
            <w:tcW w:type="dxa" w:w="480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1"/>
              </w:rPr>
              <w:t>Какие утверждения можно проверить и каким способом?</w:t>
            </w:r>
          </w:p>
        </w:tc>
      </w:tr>
      <w:tr>
        <w:trPr>
          <w:cantSplit/>
        </w:trPr>
        <w:tc>
          <w:tcPr>
            <w:tcW w:type="dxa" w:w="480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1"/>
              </w:rPr>
              <w:t>Допускает разные аргументированные прочтения.</w:t>
            </w:r>
          </w:p>
        </w:tc>
        <w:tc>
          <w:tcPr>
            <w:tcW w:type="dxa" w:w="480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1"/>
              </w:rPr>
              <w:t>Требует различать основание вывода и предположение.</w:t>
            </w:r>
          </w:p>
        </w:tc>
      </w:tr>
      <w:tr>
        <w:trPr>
          <w:cantSplit/>
        </w:trPr>
        <w:tc>
          <w:tcPr>
            <w:tcW w:type="dxa" w:w="480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1"/>
              </w:rPr>
              <w:t>Итог: творческая работа или интерпретация с контекстом.</w:t>
            </w:r>
          </w:p>
        </w:tc>
        <w:tc>
          <w:tcPr>
            <w:tcW w:type="dxa" w:w="480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1"/>
              </w:rPr>
              <w:t>Итог: протокол, данные и вывод в указанных границах.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r>
        <w:rPr/>
        <w:t>Рамочная программа ЮНЕСКО по культуре и художественному образованию 2024 года рассматривает культурное обучение в течение жизни и связи образовательной и культурной среды. В этом документе она используется как международный ориентир, а не как доказательство эффективности ФЕНИКС. [S02]</w:t>
      </w:r>
    </w:p>
    <w:p>
      <w:r>
        <w:rPr/>
        <w:t>Рекомендация ЮНЕСКО об открытой науке 2021 года описывает доступность научного знания, прозрачность и возможности его повторного использования с учётом необходимых ограничений. Предлагаемая для ФЕНИКС карточка источника — собственный инструмент реализации этой идеи. [S03]</w:t>
      </w:r>
    </w:p>
    <w:p>
      <w:pPr>
        <w:pStyle w:val="Heading2"/>
      </w:pPr>
      <w:r>
        <w:rPr/>
        <w:t>Общее упражнение: одна вещь — два вопроса</w:t>
      </w:r>
    </w:p>
    <w:p>
      <w:r>
        <w:rPr/>
        <w:t>Выберите предмет с согласия владельца. Культурный вопрос: почему эта вещь важна и какой рассказ с ней связан? Проверяемый вопрос: что можно установить о происхождении по надписи, фотографии, каталогу или документу? Итог — небольшая карточка, в которой рассказ, подтверждённое сведение и авторское прочтение не смешаны.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Связь без подмены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Образ и символ могут направлять творчество, но не служат физическим доказательством. Измерение может уточнять свойства объекта, но само по себе не определяет его личную или культурную ценность.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05 / РЕСУРС ДЕЙСТВИЯ</w:t>
      </w:r>
    </w:p>
    <w:p>
      <w:bookmarkStart w:id="6" w:name="energy"/>
      <w:pPr>
        <w:pStyle w:val="Heading1"/>
      </w:pPr>
      <w:r>
        <w:rPr/>
        <w:t>Знания и энергия</w:t>
      </w:r>
      <w:bookmarkEnd w:id="6"/>
    </w:p>
    <w:p>
      <w:pPr>
        <w:pStyle w:val="Heading2"/>
      </w:pPr>
      <w:r>
        <w:rPr/>
        <w:t>Знания: от материала к собственной работе</w:t>
      </w:r>
    </w:p>
    <w:p>
      <w:r>
        <w:rPr/>
        <w:t>Для каждой задачи выбирается небольшой набор источников. Участник кратко пересказывает смысл своими словами, проверяет важное утверждение и применяет изученное в работе. В карточке знания указываются автор, дата, происхождение, условия использования, проверка и ограничения.</w:t>
      </w:r>
    </w:p>
    <w:p>
      <w:r>
        <w:rPr/>
        <w:t>Понятие обучения на протяжении всей жизни у Института ЮНЕСКО охватывает разные возрасты, контексты и формы обучения. В ФЕНИКС это используется как основание открытого маршрута, а не как требование учиться непрерывно без отдыха. [S01]</w:t>
      </w:r>
    </w:p>
    <w:p>
      <w:r>
        <w:rPr/>
        <w:t>Открытые образовательные ресурсы определяются ЮНЕСКО через общественное достояние или открытую лицензию, разрешающую соответствующие способы использования. Бесплатная страница в интернете не означает автоматического разрешения на переработку и распространение. [S04]</w:t>
      </w:r>
    </w:p>
    <w:p>
      <w:pPr>
        <w:pStyle w:val="Heading2"/>
      </w:pPr>
      <w:r>
        <w:rPr/>
        <w:t>Три значения энергии — три способа учёта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041"/>
        <w:gridCol w:w="3855"/>
        <w:gridCol w:w="3713"/>
      </w:tblGrid>
      <w:tr>
        <w:trPr>
          <w:tblHeader w:val="true"/>
          <w:cantSplit/>
        </w:trPr>
        <w:tc>
          <w:tcPr>
            <w:tcW w:type="dxa" w:w="204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Смысл</w:t>
            </w:r>
          </w:p>
        </w:tc>
        <w:tc>
          <w:tcPr>
            <w:tcW w:type="dxa" w:w="385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фиксируем</w:t>
            </w:r>
          </w:p>
        </w:tc>
        <w:tc>
          <w:tcPr>
            <w:tcW w:type="dxa" w:w="371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Чего не смешиваем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Личный ресурс</w:t>
            </w:r>
          </w:p>
        </w:tc>
        <w:tc>
          <w:tcPr>
            <w:tcW w:type="dxa" w:w="385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Доступное время, внимание, согласованную нагрузку и паузы.</w:t>
            </w:r>
          </w:p>
        </w:tc>
        <w:tc>
          <w:tcPr>
            <w:tcW w:type="dxa" w:w="371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Самочувствие не переводится в электрические единицы.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Совместные усилия</w:t>
            </w:r>
          </w:p>
        </w:tc>
        <w:tc>
          <w:tcPr>
            <w:tcW w:type="dxa" w:w="385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Роли, часы работы, взаимную помощь и ограничения занятости.</w:t>
            </w:r>
          </w:p>
        </w:tc>
        <w:tc>
          <w:tcPr>
            <w:tcW w:type="dxa" w:w="371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Один и тот же час не обещается двум задачам.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Физическая энергия</w:t>
            </w:r>
          </w:p>
        </w:tc>
        <w:tc>
          <w:tcPr>
            <w:tcW w:type="dxa" w:w="385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Объект, прибор или источник данных, период, показания и единицы.</w:t>
            </w:r>
          </w:p>
        </w:tc>
        <w:tc>
          <w:tcPr>
            <w:tcW w:type="dxa" w:w="371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Мощность оборудования и фактический расход энергии различаются.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r>
        <w:rPr/>
        <w:t>В системе СИ джоуль относится к энергии, а ватт — к мощности. Из этих единиц следует: при постоянной мощности 1 кВт за 1 час расходуется 1 кВт·ч = 3,6 МДж. Это расчёт по определениям единиц, а не характеристика конкретного устройства. [S06]</w:t>
      </w:r>
    </w:p>
    <w:p>
      <w:pPr>
        <w:pStyle w:val="Small"/>
      </w:pPr>
      <w:r>
        <w:rPr/>
        <w:t>Энергетическая практика начинается с разрешённых данных и безопасного наблюдения. Монтаж, ремонт и испытания электроустановок не включаются в общий маршрут саморазвития. Непроверенная техническая идея сохраняется как гипотеза, а не как обещанный ресурс.</w:t>
      </w:r>
    </w:p>
    <w:p>
      <w:r>
        <w:br w:type="page"/>
      </w:r>
    </w:p>
    <w:p>
      <w:pPr>
        <w:pStyle w:val="Eyebrow"/>
      </w:pPr>
      <w:r>
        <w:rPr/>
        <w:t>06 / ЦИКЛ ФЕНИКС</w:t>
      </w:r>
    </w:p>
    <w:p>
      <w:bookmarkStart w:id="7" w:name="cycle"/>
      <w:pPr>
        <w:pStyle w:val="Heading1"/>
      </w:pPr>
      <w:r>
        <w:rPr/>
        <w:t>Пять этапов развития</w:t>
      </w:r>
      <w:bookmarkEnd w:id="7"/>
    </w:p>
    <w:p>
      <w:r>
        <w:rPr/>
        <w:t>Названия этапов сохраняют символический язык программы. Переход определяется готовностью работы и участника, а не присвоением человеку уровня. Возврат, пауза и изменение задачи допустимы.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1587"/>
        <w:gridCol w:w="2494"/>
        <w:gridCol w:w="5528"/>
      </w:tblGrid>
      <w:tr>
        <w:trPr>
          <w:tblHeader w:val="true"/>
          <w:cantSplit/>
        </w:trPr>
        <w:tc>
          <w:tcPr>
            <w:tcW w:type="dxa" w:w="1587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Этап</w:t>
            </w:r>
          </w:p>
        </w:tc>
        <w:tc>
          <w:tcPr>
            <w:tcW w:type="dxa" w:w="249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Главный вопрос</w:t>
            </w:r>
          </w:p>
        </w:tc>
        <w:tc>
          <w:tcPr>
            <w:tcW w:type="dxa" w:w="5528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Действие и подтверждение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Искра</w:t>
            </w:r>
          </w:p>
        </w:tc>
        <w:tc>
          <w:tcPr>
            <w:tcW w:type="dxa" w:w="24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я выбираю и зачем?</w:t>
            </w:r>
          </w:p>
        </w:tc>
        <w:tc>
          <w:tcPr>
            <w:tcW w:type="dxa" w:w="55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Короткий запрос; границы; исходная работа; согласованный ближайший результат.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Пламя</w:t>
            </w:r>
          </w:p>
        </w:tc>
        <w:tc>
          <w:tcPr>
            <w:tcW w:type="dxa" w:w="24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нужно узнать и попробовать?</w:t>
            </w:r>
          </w:p>
        </w:tc>
        <w:tc>
          <w:tcPr>
            <w:tcW w:type="dxa" w:w="552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Изучение материалов, безопасная практика, журнал вопросов и промежуточная работа.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Пепел</w:t>
            </w:r>
          </w:p>
        </w:tc>
        <w:tc>
          <w:tcPr>
            <w:tcW w:type="dxa" w:w="24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показал опыт и что следует изменить?</w:t>
            </w:r>
          </w:p>
        </w:tc>
        <w:tc>
          <w:tcPr>
            <w:tcW w:type="dxa" w:w="55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Разбор ошибки, затрат и ограничений; сохранение полезного; отказ от неподтверждённых выводов.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Вознесение</w:t>
            </w:r>
          </w:p>
        </w:tc>
        <w:tc>
          <w:tcPr>
            <w:tcW w:type="dxa" w:w="24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действительно получилось?</w:t>
            </w:r>
          </w:p>
        </w:tc>
        <w:tc>
          <w:tcPr>
            <w:tcW w:type="dxa" w:w="552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Проверка по критериям; объяснение результата; исправленная версия и решение о приёмке.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Полёт</w:t>
            </w:r>
          </w:p>
        </w:tc>
        <w:tc>
          <w:tcPr>
            <w:tcW w:type="dxa" w:w="24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Как передать опыт и продолжить?</w:t>
            </w:r>
          </w:p>
        </w:tc>
        <w:tc>
          <w:tcPr>
            <w:tcW w:type="dxa" w:w="55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Карточка в Архиве; понятная инструкция; новый вопрос или завершение участия.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Каждый переход — короткая проверка</w:t>
      </w:r>
    </w:p>
    <w:p>
      <w:r>
        <w:rPr/>
        <w:t>Достаточно ответить: понятна ли задача, хватает ли подтверждённых ресурсов и безопасно ли продолжение? При отрицательном ответе корректируется план. Нельзя объявлять результат достигнутым лишь потому, что закончился срок или наступил следующий символический этап.</w:t>
      </w:r>
    </w:p>
    <w:p>
      <w:pPr>
        <w:pStyle w:val="Heading2"/>
      </w:pPr>
      <w:r>
        <w:rPr/>
        <w:t>Эталон сопровождает цикл</w:t>
      </w:r>
    </w:p>
    <w:p>
      <w:r>
        <w:rPr/>
        <w:t>На «Искре» записывается желаемый образ. До основной работы он превращается в проверяемые требования. При приёмке сравнивается фактическая работа с согласованной версией требований. Изменённые критерии не применяются задним числом без отдельного обсуждения.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«Пепел» — разбор опыта, а не обесценивание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Ошибочная гипотеза может дать полезный результат: понятную границу применимости и исправленный способ работы. Для этого важно сохранить исходные записи, а не только красивую итоговую версию.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07 / СОВМЕСТНАЯ РАБОТА</w:t>
      </w:r>
    </w:p>
    <w:p>
      <w:bookmarkStart w:id="8" w:name="community"/>
      <w:pPr>
        <w:pStyle w:val="Heading1"/>
      </w:pPr>
      <w:r>
        <w:rPr/>
        <w:t>Местный центр и ответственность</w:t>
      </w:r>
      <w:bookmarkEnd w:id="8"/>
    </w:p>
    <w:p>
      <w:r>
        <w:rPr/>
        <w:t>Местный центр ФЕНИКС предлагается как место встреч, знаний и безопасной практики. Он может работать на согласованной площадке библиотеки, мастерской или иной организации. Наименование центра само по себе не подтверждает наличие помещения, партнёрства, финансирования или прав на деятельность.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324"/>
        <w:gridCol w:w="7285"/>
      </w:tblGrid>
      <w:tr>
        <w:trPr>
          <w:tblHeader w:val="true"/>
          <w:cantSplit/>
        </w:trPr>
        <w:tc>
          <w:tcPr>
            <w:tcW w:type="dxa" w:w="232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Роль</w:t>
            </w:r>
          </w:p>
        </w:tc>
        <w:tc>
          <w:tcPr>
            <w:tcW w:type="dxa" w:w="728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Зона ответственности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Участник</w:t>
            </w:r>
          </w:p>
        </w:tc>
        <w:tc>
          <w:tcPr>
            <w:tcW w:type="dxa" w:w="728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Выбирает задачу и нагрузку; выполняет работу; сохраняет право на паузу и выход.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Наставник</w:t>
            </w:r>
          </w:p>
        </w:tc>
        <w:tc>
          <w:tcPr>
            <w:tcW w:type="dxa" w:w="728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Помогает с источниками, методом и обратной связью в пределах компетенции.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Владелец задачи</w:t>
            </w:r>
          </w:p>
        </w:tc>
        <w:tc>
          <w:tcPr>
            <w:tcW w:type="dxa" w:w="728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Подтверждает потребность и условия использования результата.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Оператор площадки</w:t>
            </w:r>
          </w:p>
        </w:tc>
        <w:tc>
          <w:tcPr>
            <w:tcW w:type="dxa" w:w="728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Обеспечивает организационные основания, безопасные условия, договорённости и документы.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Проверяющий</w:t>
            </w:r>
          </w:p>
        </w:tc>
        <w:tc>
          <w:tcPr>
            <w:tcW w:type="dxa" w:w="728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Сопоставляет работу с критериями; раскрывает личную заинтересованность.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Хранитель материалов</w:t>
            </w:r>
          </w:p>
        </w:tc>
        <w:tc>
          <w:tcPr>
            <w:tcW w:type="dxa" w:w="728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Ведёт версии, права доступа, происхождение и порядок исправлений.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Как принимается решение</w:t>
      </w:r>
    </w:p>
    <w:p>
      <w:r>
        <w:rPr/>
        <w:t>Инициатор описывает вопрос и варианты. Исполнители подтверждают нагрузку, оператор проверяет основания, проверяющий уточняет критерии. Решение принимается уполномоченным лицом в пределах его роли и записывается: предмет, основание, ответственный, срок и способ пересмотра. Согласие группы не заменяет необходимое разрешение или договор.</w:t>
      </w:r>
    </w:p>
    <w:p>
      <w:pPr>
        <w:pStyle w:val="Heading2"/>
      </w:pPr>
      <w:r>
        <w:rPr/>
        <w:t>Разногласия и обращения</w:t>
      </w:r>
    </w:p>
    <w:p>
      <w:r>
        <w:rPr/>
        <w:t>Предлагается отдельный контакт для обращения, срок первичного ответа до пяти рабочих дней и рассмотрение не тем человеком, чьи действия оспариваются. Это проектный порядок; он не сокращает установленные законом права и сроки. При непосредственной угрозе безопасность обеспечивается сразу, без ожидания обычного рассмотрения.</w:t>
      </w:r>
    </w:p>
    <w:p>
      <w:pPr>
        <w:pStyle w:val="Small"/>
      </w:pPr>
      <w:r>
        <w:rPr/>
        <w:t>В малой группе роли могут совмещаться, но совмещение раскрывается. Для спорного результата желательно привлечь проверяющего, который не является его автором. Отказ от участия не используется как основание для публичного порицания.</w:t>
      </w:r>
    </w:p>
    <w:p>
      <w:r>
        <w:br w:type="page"/>
      </w:r>
    </w:p>
    <w:p>
      <w:pPr>
        <w:pStyle w:val="Eyebrow"/>
      </w:pPr>
      <w:r>
        <w:rPr/>
        <w:t>08 / АРХИТЕКТУРА · D01–D10</w:t>
      </w:r>
    </w:p>
    <w:p>
      <w:bookmarkStart w:id="9" w:name="directions"/>
      <w:pPr>
        <w:pStyle w:val="Heading1"/>
      </w:pPr>
      <w:r>
        <w:rPr/>
        <w:t>19 направлений практики</w:t>
      </w:r>
      <w:bookmarkEnd w:id="9"/>
    </w:p>
    <w:p>
      <w:r>
        <w:rPr/>
        <w:t>Сохраняется классификатор D01–D19 из программы «ФЕНИКС — Эволюционная система». Это направления задач, а не оценочные категории людей. Для проекта выбирается один основной код; остальные обозначают связи.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794"/>
        <w:gridCol w:w="2835"/>
        <w:gridCol w:w="5981"/>
      </w:tblGrid>
      <w:tr>
        <w:trPr>
          <w:tblHeader w:val="true"/>
          <w:cantSplit/>
        </w:trPr>
        <w:tc>
          <w:tcPr>
            <w:tcW w:type="dxa" w:w="79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283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Направление</w:t>
            </w:r>
          </w:p>
        </w:tc>
        <w:tc>
          <w:tcPr>
            <w:tcW w:type="dxa" w:w="598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Предмет работы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D01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Человек и здоровье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Доступность участия, навигация по помощи, условия среды.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D02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Образование и знания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маршрут, источники, наставничество, мастерские.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D03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Естественный климат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Наблюдения и адаптация; местный результат без глобальных обещаний.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D04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Земля и почвы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Разрешённый учебный участок, история использования, наблюдения.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D05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Вода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Учёт воды, история водоёмов, вопросы профильному специалисту.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D06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Воздух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Наблюдение условий помещения с указанием метода и ограничений.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D07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Биоценозы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Бережное изучение видов и местообитаний без неразрешённого вмешательства.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D08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Продовольствие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Культура питания, происхождение продуктов, наблюдение потерь.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D09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Энергия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Понятный учёт, ресурсное обеспечение, безопасная практика.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D10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Материалы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Керамика, синтетические кристаллы и другие материалы: свойства по источникам.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Одна работа может связывать несколько направлений</w:t>
      </w:r>
    </w:p>
    <w:p>
      <w:r>
        <w:rPr/>
        <w:t>Например, «Свет для чтения» может иметь основной код D09 и связи с D02, D13, D14 и D18. Расход электричества, читательский опыт и безопасность остаются разными предметами наблюдения. Один улучшенный уголок не записывается как пять независимых результатов.</w:t>
      </w:r>
    </w:p>
    <w:p>
      <w:pPr>
        <w:pStyle w:val="Small"/>
      </w:pPr>
      <w:r>
        <w:rPr/>
        <w:t>Культура и наука в этом модуле являются сквозными способами работы. Для культуры не создаётся новое двадцатое направление; D14 «Наука» сохраняется как самостоятельный предмет исследовательских задач.</w:t>
      </w:r>
    </w:p>
    <w:p>
      <w:r>
        <w:br w:type="page"/>
      </w:r>
    </w:p>
    <w:p>
      <w:pPr>
        <w:pStyle w:val="Eyebrow"/>
      </w:pPr>
      <w:r>
        <w:rPr/>
        <w:t>08 / АРХИТЕКТУРА · D11–D19</w:t>
      </w:r>
    </w:p>
    <w:p>
      <w:pPr>
        <w:pStyle w:val="Heading1"/>
      </w:pPr>
      <w:r>
        <w:rPr/>
        <w:t>От производства к управлению развитием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794"/>
        <w:gridCol w:w="2835"/>
        <w:gridCol w:w="5981"/>
      </w:tblGrid>
      <w:tr>
        <w:trPr>
          <w:tblHeader w:val="true"/>
          <w:cantSplit/>
        </w:trPr>
        <w:tc>
          <w:tcPr>
            <w:tcW w:type="dxa" w:w="79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283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Направление</w:t>
            </w:r>
          </w:p>
        </w:tc>
        <w:tc>
          <w:tcPr>
            <w:tcW w:type="dxa" w:w="598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Предмет работы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D11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Промышленность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Карта изготовления, история изделия, процессы и мастерство.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D12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Транспорт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Маршруты и доступность без вмешательства в движение.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D13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Города и расселение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Место жизни, общественные пространства, культурные маршруты.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D14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Наука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Вопрос, протокол, исходные данные, расчёт и границы вывода.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D15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Цифровая среда и ИИ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Каталоги, права доступа, цифровая грамотность и проверка ИИ.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D16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Экономика и финансы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План и факт ресурсов, расходов и обязательств.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D17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Социальная система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Взаимная помощь, межпоколенческое обучение, доступность.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D18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Безопасность и устойчивость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Риски, условия остановки, разрешения и порядок реагирования.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D19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Управление развитием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Задачи, решения, ответственность, версии и обратная связь.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Масштабирование без потери смысла</w:t>
      </w:r>
    </w:p>
    <w:p>
      <w:r>
        <w:rPr/>
        <w:t>Сначала описывается работа в одном контексте: для кого она предназначена, что потребовалось и что не получилось. Затем другая группа проверяет применимость метода на своей площадке. Переносятся знания, шаблон и критерии, но не неподтверждённые обещания одинакового результата.</w:t>
      </w:r>
    </w:p>
    <w:p>
      <w:pPr>
        <w:pStyle w:val="Heading2"/>
      </w:pPr>
      <w:r>
        <w:rPr/>
        <w:t>Когда не нужно включать все направления</w:t>
      </w:r>
    </w:p>
    <w:p>
      <w:r>
        <w:rPr/>
        <w:t>Небольшой культурный или учебный проект не обязан заполнять девятнадцать отдельных планов. Достаточно основного направления и существенных связей. Полная матрица нужна для обзора программы или территории, когда есть данные, ответственные и решения по каждой реально затронутой области.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Правило совместимости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В новых модулях используются те же D-коды. Изменение названия или содержания оформляется версией классификатора с таблицей соответствия, а не вводится незаметно в очередной иллюстрации или форме.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09 / КОНСТРУКТОР РЕЗУЛЬТАТА</w:t>
      </w:r>
    </w:p>
    <w:p>
      <w:bookmarkStart w:id="10" w:name="constructor"/>
      <w:pPr>
        <w:pStyle w:val="Heading1"/>
      </w:pPr>
      <w:r>
        <w:rPr/>
        <w:t>13 полей единого паспорта</w:t>
      </w:r>
      <w:bookmarkEnd w:id="10"/>
    </w:p>
    <w:p>
      <w:r>
        <w:rPr/>
        <w:t xml:space="preserve">Три уровня остаются раздельными: </w:t>
      </w:r>
      <w:r>
        <w:rPr>
          <w:b/>
        </w:rPr>
        <w:t>идеальный образ</w:t>
      </w:r>
      <w:r>
        <w:rPr/>
        <w:t xml:space="preserve"> — желаемая польза; </w:t>
      </w:r>
      <w:r>
        <w:rPr>
          <w:b/>
        </w:rPr>
        <w:t>рабочий эталон</w:t>
      </w:r>
      <w:r>
        <w:rPr/>
        <w:t xml:space="preserve"> — согласованные требования; </w:t>
      </w:r>
      <w:r>
        <w:rPr>
          <w:b/>
        </w:rPr>
        <w:t>факт</w:t>
      </w:r>
      <w:r>
        <w:rPr/>
        <w:t xml:space="preserve"> — предъявленная работа и подтверждения. Эталон относится к результату, процессу и условиям, а не к достоинству человека.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3118"/>
        <w:gridCol w:w="6491"/>
      </w:tblGrid>
      <w:tr>
        <w:trPr>
          <w:tblHeader w:val="true"/>
          <w:cantSplit/>
        </w:trPr>
        <w:tc>
          <w:tcPr>
            <w:tcW w:type="dxa" w:w="3118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40" w:before="40"/>
            </w:pPr>
            <w:r>
              <w:rPr>
                <w:b/>
                <w:color w:val="FFFFFF"/>
                <w:sz w:val="20"/>
              </w:rPr>
              <w:t>Код / поле</w:t>
            </w:r>
          </w:p>
        </w:tc>
        <w:tc>
          <w:tcPr>
            <w:tcW w:type="dxa" w:w="649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40" w:before="40"/>
            </w:pPr>
            <w:r>
              <w:rPr>
                <w:b/>
                <w:color w:val="FFFFFF"/>
                <w:sz w:val="20"/>
              </w:rPr>
              <w:t>Что должно быть понятно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M01 / Идентификация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Название, код, версия, дата и статус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M02 / Потребность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Чья задача и как подтвержден запрос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M03 / Участники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Автор, наставник, оператор, проверяющий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M04 / Границы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Объект, аудитория, период, исключения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M05 / Направления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Основной D-код, связи и выбранные P-контуры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M06 / Знания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Источники, умения, метод и права использования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M07 / Результат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Образ → рабочие требования → фактическая работа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M08 / План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Шаги, сроки, контрольные точки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M09 / Ресурсы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Время, материалы, площадка и энергия раздельно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M10 / Финансирование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План расходов, источник и подтверждения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M11 / Право и безопасность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Основания, доступность, риски и остановка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M12 / Данные и доказательства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Журнал, файлы, метод, доступ и ограничения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M13 / Приемка и продолжение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Решение, замечания, версия и следующий цикл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Минимальная единица результата</w:t>
      </w:r>
    </w:p>
    <w:p>
      <w:r>
        <w:rPr/>
        <w:t>Для небольшого задания достаточно одного понятного выхода: карточки, эскиза, журнала или проверенного расчёта. К нему добавляются критерий, способ проверки и ограничение. Например: «Читатель может проследить происхождение каждого существенного утверждения в карточке по приложенному источнику или отметке “не установлено”».</w:t>
      </w:r>
    </w:p>
    <w:p>
      <w:pPr>
        <w:pStyle w:val="Small"/>
      </w:pPr>
      <w:r>
        <w:rPr/>
        <w:t>P01–P13 — личные контуры; M01–M13 — поля паспорта. Это разные списки. Совпадение числа 13 не делает их взаимозаменяемыми. Заполняемая форма паспорта находится в приложении Б.</w:t>
      </w:r>
    </w:p>
    <w:p>
      <w:r>
        <w:br w:type="page"/>
      </w:r>
    </w:p>
    <w:p>
      <w:pPr>
        <w:pStyle w:val="Eyebrow"/>
      </w:pPr>
      <w:r>
        <w:rPr/>
        <w:t>09 / ПРОВЕРКА КАЧЕСТВА</w:t>
      </w:r>
    </w:p>
    <w:p>
      <w:pPr>
        <w:pStyle w:val="Heading1"/>
      </w:pPr>
      <w:r>
        <w:rPr/>
        <w:t>20 контрольных проверок</w:t>
      </w:r>
    </w:p>
    <w:p>
      <w:r>
        <w:rPr/>
        <w:t>Q01–Q20 сохранены из «Конструктора идеального эталона». Для каждого пункта фиксируются статус, подтверждение и ответственный. Общий рейтинг людей не рассчитывается.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709"/>
        <w:gridCol w:w="1786"/>
        <w:gridCol w:w="7115"/>
      </w:tblGrid>
      <w:tr>
        <w:trPr>
          <w:tblHeader w:val="true"/>
          <w:cantSplit/>
        </w:trPr>
        <w:tc>
          <w:tcPr>
            <w:tcW w:type="dxa" w:w="709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20" w:before="20"/>
            </w:pPr>
            <w:r>
              <w:rPr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1786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20" w:before="20"/>
            </w:pPr>
            <w:r>
              <w:rPr>
                <w:b/>
                <w:color w:val="FFFFFF"/>
                <w:sz w:val="19"/>
              </w:rPr>
              <w:t>Группа</w:t>
            </w:r>
          </w:p>
        </w:tc>
        <w:tc>
          <w:tcPr>
            <w:tcW w:type="dxa" w:w="711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20" w:before="20"/>
            </w:pPr>
            <w:r>
              <w:rPr>
                <w:b/>
                <w:color w:val="FFFFFF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Q01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Потребность подтверждена участником или владельцем задачи.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Q02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Человек может выбрать маршрут, сделать паузу и выйти.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Q03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Границы объекта, периода и группы явно описаны.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Q04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Исходное состояние отделено от желаемого результата.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Q05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Критерии понятны пользователю и проверяющему.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Q06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Нужные знания, метод и наставник доступны.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Q07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Ресурсы подтверждены; нет двойного обещания одного ресурса.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Q08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Сроки и нагрузка согласованы с исполнителями.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Q09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Финансовый план имеет основание и ответственного.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Q10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Роли, полномочия и зависимости определены.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Q11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Выявлены правовые основания и обязательные требования.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Q12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Определены риски, стоп-условия и порядок реагирования.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Q13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Учтены доступность и отсутствие принуждения.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Q14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Права на материалы и режим данных установлены.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Q15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Проверены побочные эффекты в связанных направлениях.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Q16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Для критерия заданы единицы, метод и правило решения.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Q17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Периоды и условия сопоставимы либо различия объяснены.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Q18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Данные, расчеты и ограничения доступны проверяющему.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Q19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Результат проверен не только его автором.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Q20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Назначены версия, срок пересмотра и канал исправления.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Small"/>
      </w:pPr>
      <w:r>
        <w:rPr/>
        <w:t>Статусы: «подтверждено»; «нужна доработка»; «неприменимо — с объяснением». Незакрытый риск безопасности, прав или данных блокирует относящуюся к нему работу, даже при выполнении остальных пунктов. Проверки проводятся до старта и при приёмке.</w:t>
      </w:r>
    </w:p>
    <w:p>
      <w:r>
        <w:br w:type="page"/>
      </w:r>
    </w:p>
    <w:p>
      <w:pPr>
        <w:pStyle w:val="Eyebrow"/>
      </w:pPr>
      <w:r>
        <w:rPr/>
        <w:t>10 / ПАМЯТЬ И РЕСУРСЫ</w:t>
      </w:r>
    </w:p>
    <w:p>
      <w:bookmarkStart w:id="11" w:name="balances"/>
      <w:pPr>
        <w:pStyle w:val="Heading1"/>
      </w:pPr>
      <w:r>
        <w:rPr/>
        <w:t>Балансы, Архив и ЭКВИЛИБРИУМ</w:t>
      </w:r>
      <w:bookmarkEnd w:id="11"/>
    </w:p>
    <w:p>
      <w:r>
        <w:rPr/>
        <w:t>Внутри ФЕНИКС связанный баланс — предлагаемая запись о потребности, доступном ресурсе, действии и подтверждённом изменении. У записи есть объект, период, единица и ответственный. Время, деньги, электричество, материалы и результаты обучения не складываются в одну величину без отдельно обоснованной модели.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3203"/>
        <w:gridCol w:w="3203"/>
        <w:gridCol w:w="3203"/>
      </w:tblGrid>
      <w:tr>
        <w:trPr>
          <w:tblHeader w:val="true"/>
          <w:cantSplit/>
        </w:trPr>
        <w:tc>
          <w:tcPr>
            <w:tcW w:type="dxa" w:w="320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До действия</w:t>
            </w:r>
          </w:p>
        </w:tc>
        <w:tc>
          <w:tcPr>
            <w:tcW w:type="dxa" w:w="320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Во время работы</w:t>
            </w:r>
          </w:p>
        </w:tc>
        <w:tc>
          <w:tcPr>
            <w:tcW w:type="dxa" w:w="320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После проверки</w:t>
            </w:r>
          </w:p>
        </w:tc>
      </w:tr>
      <w:tr>
        <w:trPr>
          <w:cantSplit/>
        </w:trPr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Потребность и исходное состояние.</w:t>
            </w:r>
          </w:p>
        </w:tc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Исполнитель, метод и первичные записи.</w:t>
            </w:r>
          </w:p>
        </w:tc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Фактический результат и ограничения.</w:t>
            </w:r>
          </w:p>
        </w:tc>
      </w:tr>
      <w:tr>
        <w:trPr>
          <w:cantSplit/>
        </w:trPr>
        <w:tc>
          <w:tcPr>
            <w:tcW w:type="dxa" w:w="320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Наличие ресурсов и подтверждённые основания.</w:t>
            </w:r>
          </w:p>
        </w:tc>
        <w:tc>
          <w:tcPr>
            <w:tcW w:type="dxa" w:w="320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Фактические затраты и изменения плана.</w:t>
            </w:r>
          </w:p>
        </w:tc>
        <w:tc>
          <w:tcPr>
            <w:tcW w:type="dxa" w:w="320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Остатки, обязательства и необходимые исправления.</w:t>
            </w:r>
          </w:p>
        </w:tc>
      </w:tr>
      <w:tr>
        <w:trPr>
          <w:cantSplit/>
        </w:trPr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Основной D-код и существенные связи.</w:t>
            </w:r>
          </w:p>
        </w:tc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Контроль побочных эффектов.</w:t>
            </w:r>
          </w:p>
        </w:tc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Проверенные изменения по каждой связи.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Защита от двойного счёта</w:t>
      </w:r>
    </w:p>
    <w:p>
      <w:r>
        <w:rPr/>
        <w:t>Материал, час работы или расход получает одну первичную запись. В связанных направлениях используются ссылки на неё. Если общий расход нужно распределить, способ распределения согласуется заранее; повторное суммирование одной записи исключается. Сопоставление до и после проводится в одинаковых единицах и с объяснением различий условий.</w:t>
      </w:r>
    </w:p>
    <w:p>
      <w:pPr>
        <w:pStyle w:val="Heading2"/>
      </w:pPr>
      <w:r>
        <w:rPr/>
        <w:t>Память с происхождением</w:t>
      </w:r>
    </w:p>
    <w:p>
      <w:r>
        <w:rPr/>
        <w:t>Архив сохранения наследия хранит автора, источник, метод, дату, версию, результат проверки, права и ограничения доступа. ЭКВИЛИБРИУМ в архитектуре этого документа — предполагаемая среда связывания таких записей. Наличие готовой программной реализации, интеграций или юридических полномочий этим описанием не утверждается.</w:t>
      </w:r>
    </w:p>
    <w:p>
      <w:pPr>
        <w:pStyle w:val="Heading2"/>
      </w:pPr>
      <w:r>
        <w:rPr/>
        <w:t>«Кристалл 741»</w:t>
      </w:r>
    </w:p>
    <w:p>
      <w:r>
        <w:rPr/>
        <w:t>Сохраняется предложенная в предыдущем модуле информационная схема: три слоя — образ, рабочий эталон и факт — × 19 направлений × 13 полей = 741 позиция. Это структура данных для согласования, не физический закон и не доказательство эффективности. Неиспользуемые позиции не заполняются искусственно.</w:t>
      </w:r>
    </w:p>
    <w:p>
      <w:pPr>
        <w:pStyle w:val="Small"/>
      </w:pPr>
      <w:r>
        <w:rPr/>
        <w:t>Проектный баланс не заменяет обязательный бухгалтерский учёт, договоры и подтверждение прав. Вклад, обещание и фактически полученный ресурс отражаются разными статусами.</w:t>
      </w:r>
    </w:p>
    <w:p>
      <w:r>
        <w:br w:type="page"/>
      </w:r>
    </w:p>
    <w:p>
      <w:pPr>
        <w:pStyle w:val="Eyebrow"/>
      </w:pPr>
      <w:r>
        <w:rPr/>
        <w:t>11 / РОССИЙСКАЯ ПРАВОВАЯ ЧАСТЬ</w:t>
      </w:r>
    </w:p>
    <w:p>
      <w:bookmarkStart w:id="12" w:name="law"/>
      <w:pPr>
        <w:pStyle w:val="Heading1"/>
      </w:pPr>
      <w:r>
        <w:rPr/>
        <w:t>Основания до начала работы</w:t>
      </w:r>
      <w:bookmarkEnd w:id="12"/>
    </w:p>
    <w:p>
      <w:r>
        <w:rPr/>
        <w:t>Статьи 43–44 Конституции РФ закрепляют основы права на образование, поддержки самообразования, свободы творчества и участия в культурной жизни. Практические условия деятельности определяются специальными нормами и фактическим форматом проекта. [S07]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948"/>
        <w:gridCol w:w="6661"/>
      </w:tblGrid>
      <w:tr>
        <w:trPr>
          <w:tblHeader w:val="true"/>
          <w:cantSplit/>
        </w:trPr>
        <w:tc>
          <w:tcPr>
            <w:tcW w:type="dxa" w:w="2948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Вопрос для проверки</w:t>
            </w:r>
          </w:p>
        </w:tc>
        <w:tc>
          <w:tcPr>
            <w:tcW w:type="dxa" w:w="666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Опорный источник и документ проекта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Кто организует работу и на каком основании?</w:t>
            </w:r>
          </w:p>
        </w:tc>
        <w:tc>
          <w:tcPr>
            <w:tcW w:type="dxa" w:w="666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Сведения об операторе, его полномочиях и договорённости с площадкой; решение о конкретном формате.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Реализуется ли образовательная программа?</w:t>
            </w:r>
          </w:p>
        </w:tc>
        <w:tc>
          <w:tcPr>
            <w:tcW w:type="dxa" w:w="666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273-ФЗ «Об образовании в РФ». До запуска — проверка применимого режима, в том числе лицензирования; название «кружок» или «мастерская» не решает вопрос. [S08]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Какие данные действительно необходимы?</w:t>
            </w:r>
          </w:p>
        </w:tc>
        <w:tc>
          <w:tcPr>
            <w:tcW w:type="dxa" w:w="666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152-ФЗ «О персональных данных». Определяются цель, основание, состав, доступ, сроки и порядок обращений; отдельная проверка публикации и трансграничной передачи. [S09]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Кому принадлежат используемые материалы?</w:t>
            </w:r>
          </w:p>
        </w:tc>
        <w:tc>
          <w:tcPr>
            <w:tcW w:type="dxa" w:w="666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Часть IV ГК РФ: авторство, права и допустимые способы использования. Для публикации фиксируется конкретное основание, а не только наличие файла. [S10]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Какие действия требуют специальных условий?</w:t>
            </w:r>
          </w:p>
        </w:tc>
        <w:tc>
          <w:tcPr>
            <w:tcW w:type="dxa" w:w="666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Карта деятельности: дети, оборудование, медицинские вопросы, помещения, земля и природные объекты. Применимые требования определяются до допуска к работе.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Минимальный пакет оператора</w:t>
      </w:r>
    </w:p>
    <w:p>
      <w:r>
        <w:rPr/>
        <w:t>Положение о модуле; сведения об операторе и площадке; правила участия и выхода; распределение ролей; порядок безопасности и обращений; документы по данным и правам; критерии приёмки; смета и договорные основания при наличии расходов. До приглашения участников нужно знать, кто отвечает за каждый документ.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Граница этой правовой части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Это навигация по вопросам подготовки, а не заключение о законности конкретного проекта. В реестре источников различаются первоначальное опубликование закона и доступный ведомственный текст. Полная сверка всех редакций и региональных требований перед запуском проводится отдельно.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11 / МЕЖДУНАРОДНАЯ ЧАСТЬ</w:t>
      </w:r>
    </w:p>
    <w:p>
      <w:pPr>
        <w:pStyle w:val="Heading1"/>
      </w:pPr>
      <w:r>
        <w:rPr/>
        <w:t>Сотрудничество через знания</w:t>
      </w:r>
    </w:p>
    <w:p>
      <w:r>
        <w:rPr/>
        <w:t>Международное развитие ФЕНИКС в этой редакции предлагается как добровольный обмен культурными работами, методами, разрешёнными материалами и опытом наставничества. Статус участников, доступность партнёров и заключение соглашений должны подтверждаться отдельно.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3515"/>
        <w:gridCol w:w="6094"/>
      </w:tblGrid>
      <w:tr>
        <w:trPr>
          <w:tblHeader w:val="true"/>
          <w:cantSplit/>
        </w:trPr>
        <w:tc>
          <w:tcPr>
            <w:tcW w:type="dxa" w:w="351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Ориентир</w:t>
            </w:r>
          </w:p>
        </w:tc>
        <w:tc>
          <w:tcPr>
            <w:tcW w:type="dxa" w:w="609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берётся в работу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Обучение на протяжении жизни — ЮНЕСКО</w:t>
            </w:r>
          </w:p>
        </w:tc>
        <w:tc>
          <w:tcPr>
            <w:tcW w:type="dxa" w:w="60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Разные жизненные ситуации и формы обучения; возможность продолжать маршрут в доступном темпе. [S01]</w:t>
            </w:r>
          </w:p>
        </w:tc>
      </w:tr>
      <w:tr>
        <w:trPr>
          <w:cantSplit/>
        </w:trPr>
        <w:tc>
          <w:tcPr>
            <w:tcW w:type="dxa" w:w="35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Культура и художественное образование — 2024</w:t>
            </w:r>
          </w:p>
        </w:tc>
        <w:tc>
          <w:tcPr>
            <w:tcW w:type="dxa" w:w="60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Внимание к наследию, культурному контексту и взаимосвязи площадок культуры и образования. [S02]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Открытая наука — 2021</w:t>
            </w:r>
          </w:p>
        </w:tc>
        <w:tc>
          <w:tcPr>
            <w:tcW w:type="dxa" w:w="60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Происхождение знания, описание метода и прозрачность с необходимыми ограничениями доступа. [S03]</w:t>
            </w:r>
          </w:p>
        </w:tc>
      </w:tr>
      <w:tr>
        <w:trPr>
          <w:cantSplit/>
        </w:trPr>
        <w:tc>
          <w:tcPr>
            <w:tcW w:type="dxa" w:w="35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Открытые образовательные ресурсы — 2019</w:t>
            </w:r>
          </w:p>
        </w:tc>
        <w:tc>
          <w:tcPr>
            <w:tcW w:type="dxa" w:w="60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Разрешённый обмен, адаптация, перевод и распространение материалов в пределах прав. [S04]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Этика искусственного интеллекта — 2021</w:t>
            </w:r>
          </w:p>
        </w:tc>
        <w:tc>
          <w:tcPr>
            <w:tcW w:type="dxa" w:w="60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Человеческая ответственность, надзор, защита прав и осторожность при работе с данными. [S05]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Модель общего проекта двух мастерских</w:t>
      </w:r>
    </w:p>
    <w:p>
      <w:r>
        <w:rPr/>
        <w:t>Выбрать один общий вопрос; согласовать термины и язык; подготовить карточки по одной структуре; обменяться материалами с разрешённым режимом использования; сравнить методы и объяснить различия контекста. Наблюдение одной группы не переносится на всю страну или культуру.</w:t>
      </w:r>
    </w:p>
    <w:p>
      <w:pPr>
        <w:pStyle w:val="Heading2"/>
      </w:pPr>
      <w:r>
        <w:rPr/>
        <w:t>Перед передачей материалов</w:t>
      </w:r>
    </w:p>
    <w:p>
      <w:r>
        <w:rPr/>
        <w:t>Фиксируются стороны, предмет работы, права, данные, расходы, юрисдикции и порядок разрешения разногласий. Наличие открытого доступа не отменяет национальных требований к передаче персональных данных и использованию произведений. Для реальной операции применимость норм проверяется отдельно. [S09, S10]</w:t>
      </w:r>
    </w:p>
    <w:p>
      <w:pPr>
        <w:pStyle w:val="Small"/>
      </w:pPr>
      <w:r>
        <w:rPr/>
        <w:t>Указанные международные рекомендации и рамочные документы — методические ориентиры, а не сертификаты, лицензии или сведения об одобрении ФЕНИКС ЮНЕСКО. Условия конкретного международного договора устанавливаются по его статусу, участникам и предмету; автоматическая применимость не предполагается.</w:t>
      </w:r>
    </w:p>
    <w:p>
      <w:r>
        <w:br w:type="page"/>
      </w:r>
    </w:p>
    <w:p>
      <w:pPr>
        <w:pStyle w:val="Eyebrow"/>
      </w:pPr>
      <w:r>
        <w:rPr/>
        <w:t>12 / НАЧАЛО РАБОТЫ</w:t>
      </w:r>
    </w:p>
    <w:p>
      <w:bookmarkStart w:id="13" w:name="launch"/>
      <w:pPr>
        <w:pStyle w:val="Heading1"/>
      </w:pPr>
      <w:r>
        <w:rPr/>
        <w:t>Первый цикл: от вопроса к результату</w:t>
      </w:r>
      <w:bookmarkEnd w:id="13"/>
    </w:p>
    <w:p>
      <w:r>
        <w:rPr/>
        <w:t>Для связи с последним модулем «Культура и наука» используется пример на 12 недель и 36 часов общего времени участника. Это предлагаемый объём, а не обязательная норма: 36 часов по 60 минут, включая встречи, самостоятельную работу, практику и проверку. Численность центра и финансирование определяются отдельным паспортом.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041"/>
        <w:gridCol w:w="3657"/>
        <w:gridCol w:w="3912"/>
      </w:tblGrid>
      <w:tr>
        <w:trPr>
          <w:tblHeader w:val="true"/>
          <w:cantSplit/>
        </w:trPr>
        <w:tc>
          <w:tcPr>
            <w:tcW w:type="dxa" w:w="204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Период / время</w:t>
            </w:r>
          </w:p>
        </w:tc>
        <w:tc>
          <w:tcPr>
            <w:tcW w:type="dxa" w:w="3657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делается</w:t>
            </w:r>
          </w:p>
        </w:tc>
        <w:tc>
          <w:tcPr>
            <w:tcW w:type="dxa" w:w="3912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остаётся в результате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Недели 1–2 / 6 часов</w:t>
            </w:r>
          </w:p>
        </w:tc>
        <w:tc>
          <w:tcPr>
            <w:tcW w:type="dxa" w:w="365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вопрос, доступность, выбор задачи, исходная работа и критерии.</w:t>
            </w:r>
          </w:p>
        </w:tc>
        <w:tc>
          <w:tcPr>
            <w:tcW w:type="dxa" w:w="3912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лист; черновик паспорта; решение о безопасном старте.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Недели 3–6 / 12 часов</w:t>
            </w:r>
          </w:p>
        </w:tc>
        <w:tc>
          <w:tcPr>
            <w:tcW w:type="dxa" w:w="365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Культурный контекст, источники, метод, небольшие упражнения.</w:t>
            </w:r>
          </w:p>
        </w:tc>
        <w:tc>
          <w:tcPr>
            <w:tcW w:type="dxa" w:w="3912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Карточки знаний; уточнённый план; промежуточная работа.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Недели 7–10 / 12 часов</w:t>
            </w:r>
          </w:p>
        </w:tc>
        <w:tc>
          <w:tcPr>
            <w:tcW w:type="dxa" w:w="365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Практика, первичные записи, обратная связь, исправление.</w:t>
            </w:r>
          </w:p>
        </w:tc>
        <w:tc>
          <w:tcPr>
            <w:tcW w:type="dxa" w:w="3912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Работа и журнал; фактические ресурсы; ограничения.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Недели 11–12 / 6 часов</w:t>
            </w:r>
          </w:p>
        </w:tc>
        <w:tc>
          <w:tcPr>
            <w:tcW w:type="dxa" w:w="365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Проверка, объяснение результата, Архив и следующий вопрос.</w:t>
            </w:r>
          </w:p>
        </w:tc>
        <w:tc>
          <w:tcPr>
            <w:tcW w:type="dxa" w:w="3912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Протокол; разрешённая архивная карточка; решение о продолжении.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Первая неделя — достаточно пяти действий</w:t>
      </w:r>
    </w:p>
    <w:p>
      <w:r>
        <w:rPr/>
        <w:t>Выбрать один вопрос. Назвать предъявляемый результат. Найти один надёжный источник. Согласовать время и безопасные условия. Назначить короткий разбор. Не требуется сначала заполнить всю матрицу системы или охватить девятнадцать направлений.</w:t>
      </w:r>
    </w:p>
    <w:p>
      <w:pPr>
        <w:pStyle w:val="Heading2"/>
      </w:pPr>
      <w:r>
        <w:rPr/>
        <w:t>Как наблюдать результат программы</w:t>
      </w:r>
    </w:p>
    <w:p>
      <w:r>
        <w:rPr/>
        <w:t>Отдельно учитываются число начавших, число завершивших и причины остановки; число работ с согласованными критериями; фактические затраты; замечания; случаи повторного использования материалов. Знаменатель каждого показателя раскрывается. Самоотчёт о пользе хранится отдельно от наблюдаемого умения.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Условие повторения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Новый цикл начинается, когда понятны запрос, ответственный, ресурсы, безопасность и способ проверки. При отсутствии одного из этих условий масштабирование откладывается, а задача пересобирается.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ПРИЛОЖЕНИЕ А / ФОРМА F-BAS-01</w:t>
      </w:r>
    </w:p>
    <w:p>
      <w:bookmarkStart w:id="14" w:name="formA"/>
      <w:pPr>
        <w:pStyle w:val="Heading1"/>
      </w:pPr>
      <w:r>
        <w:rPr/>
        <w:t>Личный лист «Основы»</w:t>
      </w:r>
      <w:bookmarkEnd w:id="14"/>
    </w:p>
    <w:p>
      <w:r>
        <w:rPr/>
        <w:t>Заполняется самим участником. Достаточно кратких ответов. Можно использовать выбранное имя или код; контакт передаётся только там, где он действительно нужен.</w:t>
      </w:r>
    </w:p>
    <w:p>
      <w:pPr>
        <w:pStyle w:val="Heading3"/>
        <w:spacing w:before="120" w:after="60"/>
      </w:pPr>
      <w:r>
        <w:rPr/>
        <w:t>Мой вопрос</w:t>
      </w:r>
    </w:p>
    <w:p>
      <w:pPr>
        <w:pStyle w:val="Small"/>
        <w:spacing w:after="60"/>
      </w:pPr>
      <w:r>
        <w:rPr/>
        <w:t>Что мне важно понять или научиться делать?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Мой результат</w:t>
      </w:r>
    </w:p>
    <w:p>
      <w:pPr>
        <w:pStyle w:val="Small"/>
        <w:spacing w:after="60"/>
      </w:pPr>
      <w:r>
        <w:rPr/>
        <w:t>Какую конкретную работу я смогу показать?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Мой выбор</w:t>
      </w:r>
    </w:p>
    <w:p>
      <w:pPr>
        <w:pStyle w:val="Small"/>
        <w:spacing w:after="60"/>
      </w:pPr>
      <w:r>
        <w:rPr/>
        <w:t>Основной P-контур; поддерживающий контур — только при необходимости.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Мои источники</w:t>
      </w:r>
    </w:p>
    <w:p>
      <w:pPr>
        <w:pStyle w:val="Small"/>
        <w:spacing w:after="60"/>
      </w:pPr>
      <w:r>
        <w:rPr/>
        <w:t>Материал, автор, дата; кто поможет проверить понимание?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Мои условия</w:t>
      </w:r>
    </w:p>
    <w:p>
      <w:pPr>
        <w:pStyle w:val="Small"/>
        <w:spacing w:after="60"/>
      </w:pPr>
      <w:r>
        <w:rPr/>
        <w:t>Доступное время, место, необходимые приспособления и поддержка.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Мои границы</w:t>
      </w:r>
    </w:p>
    <w:p>
      <w:pPr>
        <w:pStyle w:val="Small"/>
        <w:spacing w:after="60"/>
      </w:pPr>
      <w:r>
        <w:rPr/>
        <w:t>Какие действия я не выполняю; когда делаю паузу?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Моя проверка</w:t>
      </w:r>
    </w:p>
    <w:p>
      <w:pPr>
        <w:pStyle w:val="Small"/>
        <w:spacing w:after="60"/>
      </w:pPr>
      <w:r>
        <w:rPr/>
        <w:t>Кто и каким способом проверит работу по известному критерию?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Мой следующий шаг</w:t>
      </w:r>
    </w:p>
    <w:p>
      <w:pPr>
        <w:pStyle w:val="Small"/>
        <w:spacing w:after="60"/>
      </w:pPr>
      <w:r>
        <w:rPr/>
        <w:t>Действие, удобная дата и время короткого разбора.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Small"/>
      </w:pPr>
      <w:r>
        <w:rPr/>
        <w:t>Дата заполнения: __________________    Дата следующего разбора: __________________</w:t>
      </w:r>
    </w:p>
    <w:p>
      <w:pPr>
        <w:pStyle w:val="Small"/>
      </w:pPr>
      <w:r>
        <w:rPr/>
        <w:t>Публичное представление работы, обработка данных и права на публикацию согласуются отдельно. Этот лист не является универсальным согласием на использование персональных данных.</w:t>
      </w:r>
    </w:p>
    <w:p>
      <w:r>
        <w:br w:type="page"/>
      </w:r>
    </w:p>
    <w:p>
      <w:pPr>
        <w:pStyle w:val="Eyebrow"/>
      </w:pPr>
      <w:r>
        <w:rPr/>
        <w:t>ПРИЛОЖЕНИЕ Б / ФОРМА F-BAS-02</w:t>
      </w:r>
    </w:p>
    <w:p>
      <w:bookmarkStart w:id="15" w:name="formB"/>
      <w:pPr>
        <w:pStyle w:val="Heading1"/>
      </w:pPr>
      <w:r>
        <w:rPr/>
        <w:t>Краткий паспорт проекта</w:t>
      </w:r>
      <w:bookmarkEnd w:id="15"/>
    </w:p>
    <w:p>
      <w:r>
        <w:rPr/>
        <w:t>Структура M01–M13 совпадает с «Конструктором идеального эталона». Поля можно заполнять непосредственно в Word. Для подробностей указывается приложение или запись реестра.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976"/>
        <w:gridCol w:w="6633"/>
      </w:tblGrid>
      <w:tr>
        <w:trPr>
          <w:tblHeader w:val="true"/>
          <w:cantSplit/>
        </w:trPr>
        <w:tc>
          <w:tcPr>
            <w:tcW w:type="dxa" w:w="2976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63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Запись проекта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M01 / Идентификация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M02 / Потребность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M03 / Участники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M04 / Границы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M05 / Направления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M06 / Знания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M07 / Результат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>Образ: __________  Требование: __________  Факт: __________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M08 / План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M09 / Ресурсы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M10 / Финансирование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M11 / Право и безопасность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M12 / Данные и доказательства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M13 / Приемка и продолжение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Small"/>
      </w:pPr>
      <w:r>
        <w:rPr/>
        <w:t>Приложения к паспорту: критерии и метод проверки; Q01–Q20; карта рисков; источники; права и доступ; при необходимости — смета. Заполнение формы не означает автоматического допуска к деятельности.</w:t>
      </w:r>
    </w:p>
    <w:p>
      <w:r>
        <w:br w:type="page"/>
      </w:r>
    </w:p>
    <w:p>
      <w:pPr>
        <w:pStyle w:val="Eyebrow"/>
      </w:pPr>
      <w:r>
        <w:rPr/>
        <w:t>ПРИЛОЖЕНИЕ В / ФОРМА F-BAS-03</w:t>
      </w:r>
    </w:p>
    <w:p>
      <w:bookmarkStart w:id="16" w:name="formC"/>
      <w:pPr>
        <w:pStyle w:val="Heading1"/>
      </w:pPr>
      <w:r>
        <w:rPr/>
        <w:t>Решение, приёмка и новая версия</w:t>
      </w:r>
      <w:bookmarkEnd w:id="16"/>
    </w:p>
    <w:p>
      <w:r>
        <w:rPr/>
        <w:t>Форма применяется к старту, приёмке или пересмотру одной конкретной работы. Выбранный тип решения отмечается словами, без суммарной оценки человека.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665"/>
        <w:gridCol w:w="6945"/>
      </w:tblGrid>
      <w:tr>
        <w:trPr>
          <w:tblHeader w:val="true"/>
          <w:cantSplit/>
        </w:trPr>
        <w:tc>
          <w:tcPr>
            <w:tcW w:type="dxa" w:w="266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94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Проект, код и версия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Тип решения и дата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Старт / приёмка / доработка / приостановка / завершение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Предмет решения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Какой результат или шаг рассматривается?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Подтверждения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Критерии, первичные записи, ссылки, проверяющий.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Ограничения и риски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не подтверждено; что исключено; что блокирует продолжение?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Решение и ответственный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разрешено или принято; кто отвечает за следующий шаг?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Исправления и срок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Публикация и доступ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можно передать в Архив и на каком основании?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Пересмотр и обращение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Дата пересмотра; способ сообщить о несогласии.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Краткий журнал изменений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154"/>
        <w:gridCol w:w="5046"/>
        <w:gridCol w:w="2409"/>
      </w:tblGrid>
      <w:tr>
        <w:trPr>
          <w:tblHeader w:val="true"/>
          <w:cantSplit/>
        </w:trPr>
        <w:tc>
          <w:tcPr>
            <w:tcW w:type="dxa" w:w="215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Дата / версия</w:t>
            </w:r>
          </w:p>
        </w:tc>
        <w:tc>
          <w:tcPr>
            <w:tcW w:type="dxa" w:w="5046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изменено и почему</w:t>
            </w:r>
          </w:p>
        </w:tc>
        <w:tc>
          <w:tcPr>
            <w:tcW w:type="dxa" w:w="2409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Кем рассмотрено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________________</w:t>
            </w:r>
          </w:p>
        </w:tc>
        <w:tc>
          <w:tcPr>
            <w:tcW w:type="dxa" w:w="504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</w:t>
            </w:r>
          </w:p>
        </w:tc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________________</w:t>
            </w:r>
          </w:p>
        </w:tc>
        <w:tc>
          <w:tcPr>
            <w:tcW w:type="dxa" w:w="504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</w:t>
            </w:r>
          </w:p>
        </w:tc>
        <w:tc>
          <w:tcPr>
            <w:tcW w:type="dxa" w:w="24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________________</w:t>
            </w:r>
          </w:p>
        </w:tc>
        <w:tc>
          <w:tcPr>
            <w:tcW w:type="dxa" w:w="504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</w:t>
            </w:r>
          </w:p>
        </w:tc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Small"/>
      </w:pPr>
      <w:r>
        <w:rPr/>
        <w:t>Решение сохраняется вместе с той версией критериев, по которой проводилась проверка. Новая версия не стирает историю предыдущих решений.</w:t>
      </w:r>
    </w:p>
    <w:p>
      <w:r>
        <w:br w:type="page"/>
      </w:r>
    </w:p>
    <w:p>
      <w:pPr>
        <w:pStyle w:val="Eyebrow"/>
      </w:pPr>
      <w:r>
        <w:rPr/>
        <w:t>ПРИЛОЖЕНИЕ Г / УЧЕБНЫЙ ПРИМЕР</w:t>
      </w:r>
    </w:p>
    <w:p>
      <w:bookmarkStart w:id="17" w:name="example"/>
      <w:pPr>
        <w:pStyle w:val="Heading1"/>
      </w:pPr>
      <w:r>
        <w:rPr/>
        <w:t>Первая работа: «История одной вещи»</w:t>
      </w:r>
      <w:bookmarkEnd w:id="17"/>
    </w:p>
    <w:p>
      <w:pPr>
        <w:pStyle w:val="Lead"/>
      </w:pPr>
      <w:r>
        <w:rPr/>
        <w:t>Пример показывает применение «Основ»; он не описывает проведённое мероприятие и не содержит вымышленных результатов измерения.</w:t>
      </w:r>
    </w:p>
    <w:p>
      <w:pPr>
        <w:pStyle w:val="Heading2"/>
      </w:pPr>
      <w:r>
        <w:rPr/>
        <w:t>Запрос и границы</w:t>
      </w:r>
    </w:p>
    <w:p>
      <w:r>
        <w:rPr/>
        <w:t>Участник хочет сохранить рассказ о семейной вещи и научиться отличать воспоминание от установленного сведения. Владелец разрешает осмотр и запись выбранной части рассказа. Никакая реставрация, оценка рыночной стоимости или публикация личных данных в задачу не входит.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409"/>
        <w:gridCol w:w="7200"/>
      </w:tblGrid>
      <w:tr>
        <w:trPr>
          <w:tblHeader w:val="true"/>
          <w:cantSplit/>
        </w:trPr>
        <w:tc>
          <w:tcPr>
            <w:tcW w:type="dxa" w:w="2409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Элемент</w:t>
            </w:r>
          </w:p>
        </w:tc>
        <w:tc>
          <w:tcPr>
            <w:tcW w:type="dxa" w:w="7200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Предлагаемая запись</w:t>
            </w:r>
          </w:p>
        </w:tc>
      </w:tr>
      <w:tr>
        <w:trPr>
          <w:cantSplit/>
        </w:trPr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Связь с системой</w:t>
            </w:r>
          </w:p>
        </w:tc>
        <w:tc>
          <w:tcPr>
            <w:tcW w:type="dxa" w:w="7200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Основное D02; связи D14 и D17. Основной личный контур P10; поддерживающий P03 — по выбору.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Идеальный образ</w:t>
            </w:r>
          </w:p>
        </w:tc>
        <w:tc>
          <w:tcPr>
            <w:tcW w:type="dxa" w:w="7200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Семейная память сохранена понятно и бережно.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Рабочий эталон</w:t>
            </w:r>
          </w:p>
        </w:tc>
        <w:tc>
          <w:tcPr>
            <w:tcW w:type="dxa" w:w="7200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Карточка объёмом до двух страниц: описание, рассказ с указанием источника, проверенные сведения, неизвестное, права.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Ресурсы</w:t>
            </w:r>
          </w:p>
        </w:tc>
        <w:tc>
          <w:tcPr>
            <w:tcW w:type="dxa" w:w="7200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Одна разрешённая вещь, существующие материалы, время участника и собеседника. Новые покупки не предполагаются.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Критерий</w:t>
            </w:r>
          </w:p>
        </w:tc>
        <w:tc>
          <w:tcPr>
            <w:tcW w:type="dxa" w:w="7200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Каждое существенное утверждение имеет источник либо пометку о предположении или неустановленном факте.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Проверка</w:t>
            </w:r>
          </w:p>
        </w:tc>
        <w:tc>
          <w:tcPr>
            <w:tcW w:type="dxa" w:w="7200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Другой участник прослеживает основания; владелец проверяет сведения о себе. Эти проверки выполняют разные задачи.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Прохождение цикла</w:t>
      </w:r>
    </w:p>
    <w:p>
      <w:r>
        <w:rPr/>
        <w:t>Искра — согласовать вопрос. Пламя — описать вещь и изучить материалы. Пепел — обнаружить пробелы и не подгонять историю под ожидание. Вознесение — проверить карточку и исправить формулировки. Полёт — сохранить разрешённую версию и выбрать следующий вопрос.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Допустимый итог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Дата изготовления не установлена, но рассказ корректно записан, происхождение сведений видно, а права сохранены. Это может быть достаточным результатом согласованной задачи — без заявления, что неизвестная дата найдена.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ПРИЛОЖЕНИЕ Д / ЯЗЫК И ПРЕЕМСТВЕННОСТЬ</w:t>
      </w:r>
    </w:p>
    <w:p>
      <w:bookmarkStart w:id="18" w:name="glossary"/>
      <w:pPr>
        <w:pStyle w:val="Heading1"/>
      </w:pPr>
      <w:r>
        <w:rPr/>
        <w:t>Общий словарь ФЕНИКС</w:t>
      </w:r>
      <w:bookmarkEnd w:id="18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665"/>
        <w:gridCol w:w="6945"/>
      </w:tblGrid>
      <w:tr>
        <w:trPr>
          <w:tblHeader w:val="true"/>
          <w:cantSplit/>
        </w:trPr>
        <w:tc>
          <w:tcPr>
            <w:tcW w:type="dxa" w:w="266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Термин</w:t>
            </w:r>
          </w:p>
        </w:tc>
        <w:tc>
          <w:tcPr>
            <w:tcW w:type="dxa" w:w="694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Значение в этой серии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Саморазвитие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Самостоятельный выбор задачи и движение от знания к действию с разбором опыта.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Эволюционная система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Организация последовательных циклов обновления практики; не теория биологической иерархии людей.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Культура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Работа с языком, памятью, искусством, ремеслом, наследием и смыслом в их контексте.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Научный подход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Проверяемый вопрос, источники, метод, данные и вывод в установленных границах.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Рабочий эталон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Согласованная версия требований к результату, процессу и условиям его получения.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Доказательство результата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Источник, запись, образец, протокол или расчёт, достаточный для конкретного критерия.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Связанный баланс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Проектная запись потребности, ресурса, действия и изменения с единицами и связями.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Архив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Материалы вместе с происхождением, авторством, версией, проверкой и правами доступа.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Приёмка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Решение по предъявленной работе и согласованным критериям; не присвоение человеку достоинства.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Масштабирование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Проверка и адаптация способа работы в другом контексте после разбора первого опыта.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Преемственность и правило новой версии</w:t>
      </w:r>
    </w:p>
    <w:p>
      <w:r>
        <w:rPr/>
        <w:t>Сохраняются название «ФЕНИКС — Эволюционная система», цикл пяти этапов, классификаторы P, D, M и Q, связь с «Знаниями и энергией», «Культурой и наукой», Архивом и ЭКВИЛИБРИУМ. В данном документе добавлены свод двенадцати принципов, единый словарь и три формы базового уровня.</w:t>
      </w:r>
    </w:p>
    <w:p>
      <w:r>
        <w:rPr/>
        <w:t>Следующая редакция должна явно указать, что изменилось, почему и какие старые записи требуют пересмотра. Утверждение оператором или иной уполномоченной стороной фиксируется отдельным решением; дата подготовки файла не является датой такого утверждения.</w:t>
      </w:r>
    </w:p>
    <w:p>
      <w:r>
        <w:br w:type="page"/>
      </w:r>
    </w:p>
    <w:p>
      <w:pPr>
        <w:pStyle w:val="Eyebrow"/>
      </w:pPr>
      <w:r>
        <w:rPr/>
        <w:t>ИСТОЧНИКИ / S01–S06</w:t>
      </w:r>
    </w:p>
    <w:p>
      <w:bookmarkStart w:id="19" w:name="sources"/>
      <w:pPr>
        <w:pStyle w:val="Heading1"/>
      </w:pPr>
      <w:r>
        <w:rPr/>
        <w:t>Методические и научные ориентиры</w:t>
      </w:r>
      <w:bookmarkEnd w:id="19"/>
    </w:p>
    <w:p>
      <w:pPr>
        <w:pStyle w:val="Small"/>
      </w:pPr>
      <w:r>
        <w:rPr/>
        <w:t>Дата обращения к доступным страницам: 17 сентября 2026 года. Номера S01–S10 относятся к настоящему документу. Ссылки открываются по названию «Официальный источник».</w:t>
      </w:r>
    </w:p>
    <w:p>
      <w:pPr>
        <w:pStyle w:val="Heading2"/>
      </w:pPr>
      <w:r>
        <w:rPr/>
        <w:t>S01 / Институт ЮНЕСКО по обучению на протяжении всей жизни. Lifelong learning</w:t>
      </w:r>
    </w:p>
    <w:p>
      <w:r>
        <w:rPr/>
        <w:t>Разные возраста, формы и контексты обучения. Использовано в разделе 05 и международной части.</w:t>
      </w:r>
    </w:p>
    <w:p>
      <w:pPr>
        <w:pStyle w:val="Small"/>
      </w:pPr>
      <w:hyperlink r:id="rId11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S02 / ЮНЕСКО. Рамочная программа по культуре и художественному образованию, 2024</w:t>
      </w:r>
    </w:p>
    <w:p>
      <w:r>
        <w:rPr/>
        <w:t>Официальное сообщение от 15.02.2024 и ссылка на рамочную программу. Использовано в разделе 04.</w:t>
      </w:r>
    </w:p>
    <w:p>
      <w:pPr>
        <w:pStyle w:val="Small"/>
      </w:pPr>
      <w:hyperlink r:id="rId12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S03 / ЮНЕСКО. Рекомендация об открытой науке, 2021</w:t>
      </w:r>
    </w:p>
    <w:p>
      <w:r>
        <w:rPr/>
        <w:t>Официальный текст, принят 23.11.2021. Прозрачность, доступ и ответственное повторное использование знаний.</w:t>
      </w:r>
    </w:p>
    <w:p>
      <w:pPr>
        <w:pStyle w:val="Small"/>
      </w:pPr>
      <w:hyperlink r:id="rId13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S04 / ЮНЕСКО. Рекомендация об открытых образовательных ресурсах, 2019</w:t>
      </w:r>
    </w:p>
    <w:p>
      <w:r>
        <w:rPr/>
        <w:t>Официальный текст, принят 25.11.2019. Определение открытых ресурсов и лицензий; условия обмена.</w:t>
      </w:r>
    </w:p>
    <w:p>
      <w:pPr>
        <w:pStyle w:val="Small"/>
      </w:pPr>
      <w:hyperlink r:id="rId14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S05 / ЮНЕСКО. Рекомендация об этических аспектах искусственного интеллекта, 2021</w:t>
      </w:r>
    </w:p>
    <w:p>
      <w:r>
        <w:rPr/>
        <w:t>Официальный текст. Человеческая ответственность, надзор и права; международный ориентир.</w:t>
      </w:r>
    </w:p>
    <w:p>
      <w:pPr>
        <w:pStyle w:val="Small"/>
      </w:pPr>
      <w:hyperlink r:id="rId15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S06 / Международное бюро мер и весов. Международная система единиц (СИ)</w:t>
      </w:r>
    </w:p>
    <w:p>
      <w:r>
        <w:rPr/>
        <w:t>Официальные определения единиц и ссылка на брошюру СИ. Основание различения мощности и энергии.</w:t>
      </w:r>
    </w:p>
    <w:p>
      <w:pPr>
        <w:pStyle w:val="Small"/>
      </w:pPr>
      <w:hyperlink r:id="rId16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Small"/>
      </w:pPr>
      <w:r>
        <w:rPr/>
        <w:t>Принципы, формы, расписание и способы внутренней проверки ФЕНИКС являются проектными решениями. Источники не подтверждают уже достигнутую эффективность программы и не означают одобрения со стороны их авторов.</w:t>
      </w:r>
    </w:p>
    <w:p>
      <w:r>
        <w:br w:type="page"/>
      </w:r>
    </w:p>
    <w:p>
      <w:pPr>
        <w:pStyle w:val="Eyebrow"/>
      </w:pPr>
      <w:r>
        <w:rPr/>
        <w:t>ИСТОЧНИКИ / S07–S10</w:t>
      </w:r>
    </w:p>
    <w:p>
      <w:pPr>
        <w:pStyle w:val="Heading1"/>
      </w:pPr>
      <w:r>
        <w:rPr/>
        <w:t>Правовая опора и документы серии</w:t>
      </w:r>
    </w:p>
    <w:p>
      <w:pPr>
        <w:pStyle w:val="Heading2"/>
      </w:pPr>
      <w:r>
        <w:rPr/>
        <w:t>S07 / Конституция Российской Федерации, статьи 43–44</w:t>
      </w:r>
    </w:p>
    <w:p>
      <w:r>
        <w:rPr/>
        <w:t>Официальная страница Министерства юстиции РФ. Образование, самообразование, творчество и культурная жизнь.</w:t>
      </w:r>
    </w:p>
    <w:p>
      <w:pPr>
        <w:pStyle w:val="Small"/>
      </w:pPr>
      <w:hyperlink r:id="rId17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S08 / Федеральный закон от 29.12.2012 № 273-ФЗ «Об образовании в Российской Федерации»</w:t>
      </w:r>
    </w:p>
    <w:p>
      <w:r>
        <w:rPr/>
        <w:t>Карточка официального первоначального опубликования от 30.12.2012. Актуальная редакция и режим конкретной деятельности проверяются перед запуском.</w:t>
      </w:r>
    </w:p>
    <w:p>
      <w:pPr>
        <w:pStyle w:val="Small"/>
      </w:pPr>
      <w:hyperlink r:id="rId18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S09 / Федеральный закон от 27.07.2006 № 152-ФЗ «О персональных данных»</w:t>
      </w:r>
    </w:p>
    <w:p>
      <w:r>
        <w:rPr/>
        <w:t>Доступный ведомственный текст на сайте Минтруда России. Полнота изменений для конкретной операции требует дополнительной сверки.</w:t>
      </w:r>
    </w:p>
    <w:p>
      <w:pPr>
        <w:pStyle w:val="Small"/>
      </w:pPr>
      <w:hyperlink r:id="rId19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S10 / Гражданский кодекс Российской Федерации, часть IV</w:t>
      </w:r>
    </w:p>
    <w:p>
      <w:r>
        <w:rPr/>
        <w:t>Официальная страница Роспатента. Для конкретного способа использования материала проверяются актуальная норма и правовое основание.</w:t>
      </w:r>
    </w:p>
    <w:p>
      <w:pPr>
        <w:pStyle w:val="Small"/>
      </w:pPr>
      <w:hyperlink r:id="rId20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Внутренние основания преемственности</w:t>
      </w:r>
    </w:p>
    <w:p>
      <w:r>
        <w:rPr/>
        <w:t>«ФЕНИКС — Эволюционная система», рабочая концепция 1.0; «Конструктор идеального эталона», рабочая концепция 1.0; «Основы саморазвития. Культура и наука», рабочая концепция 1.0; ранее подготовленный комплект «Основы законодательства по направлениям».</w:t>
      </w:r>
    </w:p>
    <w:p>
      <w:pPr>
        <w:pStyle w:val="Small"/>
      </w:pPr>
      <w:r>
        <w:rPr/>
        <w:t>Для сверки использованы исходные документы Word из этой переписки. Названия P01–P13 и D01–D19, поля M01–M13 и проверки Q01–Q20 перенесены из текстовых документов серии; различающаяся нумерация на отдельных иллюстрациях не использовалась.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Смысл «Основ»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У каждого цикла есть понятный вопрос, добровольный участник, доступные знания, подтверждённые ресурсы, безопасная практика и честно описанный результат.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49" w:right="1077" w:bottom="964" w:left="1219" w:header="425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09" w:val="right"/>
      </w:tabs>
    </w:pPr>
    <w:r>
      <w:t>FEN-BAS-001  ·  Редакция 1.0  ·  17.09.2026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09" w:val="right"/>
      </w:tabs>
      <w:jc w:val="left"/>
      <w:pBdr>
        <w:bottom w:val="single" w:sz="5" w:color="B17C31" w:space="7"/>
      </w:pBdr>
    </w:pPr>
    <w:r>
      <w:rPr>
        <w:b/>
        <w:color w:val="173B50"/>
      </w:rPr>
      <w:t>ФЕНИКС  /  ОСНОВЫ</w:t>
    </w:r>
    <w:r>
      <w:tab/>
      <w:t>ЭВОЛЮЦИОННАЯ СИСТЕМА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/>
      <w:color w:val="26343B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6767E"/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6767E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 w:line="25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3B5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26686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 w:line="25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173B5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5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B50"/>
      <w:spacing w:val="5"/>
      <w:kern w:val="28"/>
      <w:sz w:val="8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00" w:after="140" w:line="250" w:lineRule="auto"/>
    </w:pPr>
    <w:rPr>
      <w:rFonts w:asciiTheme="majorHAnsi" w:eastAsiaTheme="majorEastAsia" w:hAnsiTheme="majorHAnsi" w:cstheme="majorBidi" w:ascii="Arial" w:hAnsi="Arial"/>
      <w:b w:val="0"/>
      <w:i/>
      <w:iCs/>
      <w:color w:val="266865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40" w:line="269" w:lineRule="auto"/>
    </w:pPr>
    <w:rPr>
      <w:rFonts w:ascii="Arial" w:hAnsi="Arial"/>
      <w:color w:val="26343B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0"/>
    </w:pPr>
    <w:rPr>
      <w:rFonts w:ascii="Arial" w:hAnsi="Arial"/>
      <w:b/>
      <w:bCs/>
      <w:color w:val="66767E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basedOn w:val="Normal"/>
    <w:pPr>
      <w:keepNext/>
      <w:spacing w:after="140" w:line="269" w:lineRule="auto"/>
    </w:pPr>
    <w:rPr>
      <w:rFonts w:ascii="Arial" w:hAnsi="Arial"/>
      <w:b/>
      <w:color w:val="B17C31"/>
      <w:sz w:val="18"/>
    </w:rPr>
  </w:style>
  <w:style w:type="paragraph" w:customStyle="1" w:styleId="Small">
    <w:name w:val="Small"/>
    <w:basedOn w:val="Normal"/>
    <w:pPr>
      <w:spacing w:after="140" w:line="269" w:lineRule="auto"/>
    </w:pPr>
    <w:rPr>
      <w:rFonts w:ascii="Arial" w:hAnsi="Arial"/>
      <w:color w:val="66767E"/>
      <w:sz w:val="18"/>
    </w:rPr>
  </w:style>
  <w:style w:type="paragraph" w:customStyle="1" w:styleId="Lead">
    <w:name w:val="Lead"/>
    <w:basedOn w:val="Normal"/>
    <w:pPr>
      <w:spacing w:after="140" w:line="269" w:lineRule="auto"/>
    </w:pPr>
    <w:rPr>
      <w:rFonts w:ascii="Arial" w:hAnsi="Arial"/>
      <w:color w:val="266865"/>
      <w:sz w:val="24"/>
    </w:rPr>
  </w:style>
  <w:style w:type="paragraph" w:customStyle="1" w:styleId="FormLabel">
    <w:name w:val="FormLabel"/>
    <w:basedOn w:val="Normal"/>
    <w:pPr>
      <w:spacing w:after="140" w:line="269" w:lineRule="auto"/>
    </w:pPr>
    <w:rPr>
      <w:rFonts w:ascii="Arial" w:hAnsi="Arial"/>
      <w:color w:val="173B5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uil.unesco.org/en/unesco-institute/mandate/lifelong-learning" TargetMode="External"/><Relationship Id="rId12" Type="http://schemas.openxmlformats.org/officeDocument/2006/relationships/hyperlink" Target="https://www.unesco.org/en/articles/unesco-member-states-adopt-global-framework-strengthen-culture-and-arts-education" TargetMode="External"/><Relationship Id="rId13" Type="http://schemas.openxmlformats.org/officeDocument/2006/relationships/hyperlink" Target="https://www.unesco.org/en/legal-affairs/recommendation-open-science" TargetMode="External"/><Relationship Id="rId14" Type="http://schemas.openxmlformats.org/officeDocument/2006/relationships/hyperlink" Target="https://www.unesco.org/en/legal-affairs/recommendation-open-educational-resources-oer" TargetMode="External"/><Relationship Id="rId15" Type="http://schemas.openxmlformats.org/officeDocument/2006/relationships/hyperlink" Target="https://www.unesco.org/en/legal-affairs/recommendation-ethics-artificial-intelligence" TargetMode="External"/><Relationship Id="rId16" Type="http://schemas.openxmlformats.org/officeDocument/2006/relationships/hyperlink" Target="https://www.bipm.org/en/measurement-units" TargetMode="External"/><Relationship Id="rId17" Type="http://schemas.openxmlformats.org/officeDocument/2006/relationships/hyperlink" Target="https://minjust.gov.ru/ru/documents/8011/" TargetMode="External"/><Relationship Id="rId18" Type="http://schemas.openxmlformats.org/officeDocument/2006/relationships/hyperlink" Target="https://publication.pravo.gov.ru/document/0001201212300007" TargetMode="External"/><Relationship Id="rId19" Type="http://schemas.openxmlformats.org/officeDocument/2006/relationships/hyperlink" Target="https://mintrud.gov.ru/docs/laws/130" TargetMode="External"/><Relationship Id="rId20" Type="http://schemas.openxmlformats.org/officeDocument/2006/relationships/hyperlink" Target="https://rospatent.gov.ru/ru/documents/grazhdanskiy-kodeks-rossiyskoy-federacii-chast-chetverta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Основы. Базовый документ эволюционной системы</dc:title>
  <dc:subject>Программа народного саморазвития «Знания и энергия»</dc:subject>
  <dc:creator/>
  <cp:keywords>ФЕНИКС, саморазвитие, культура, наука, знания, энергия, основы</cp:keywords>
  <dc:description>Рабочая концепция 1.0. Проект для обсуждения и согласования.</dc:description>
  <cp:lastModifiedBy/>
  <cp:revision>1</cp:revision>
  <dcterms:created xsi:type="dcterms:W3CDTF">2026-09-17T00:00:00Z</dcterms:created>
  <dcterms:modified xsi:type="dcterms:W3CDTF">2026-09-17T00:00:00Z</dcterms:modified>
  <cp:category/>
</cp:coreProperties>
</file>