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КОНЦЕПТУАЛЬНЫЙ СИНТЕЗ / 28 сентября 2026</w:t>
      </w:r>
    </w:p>
    <w:p>
      <w:pPr>
        <w:pStyle w:val="Title"/>
      </w:pPr>
      <w:r>
        <w:t>ФЕНИКС</w:t>
        <w:br/>
        <w:t>Город Знания</w:t>
        <w:br/>
        <w:t>и Энергии</w:t>
      </w:r>
    </w:p>
    <w:p>
      <w:r>
        <w:t>Личное развитие, общая среда и проверяемый результат.</w:t>
      </w:r>
    </w:p>
    <w:p>
      <w:r>
        <w:drawing>
          <wp:inline xmlns:a="http://schemas.openxmlformats.org/drawingml/2006/main" xmlns:pic="http://schemas.openxmlformats.org/drawingml/2006/picture">
            <wp:extent cx="6192000" cy="348485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ity-her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34848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Статус этого материала</w:t>
      </w:r>
    </w:p>
    <w:p>
      <w:r>
        <w:t>Это новая авторская концепция для обсуждения, подготовленная по доступным первичным материалам. Архитектурные изображения и схема размещения созданы для этой концепции. Они не изображают существующий или утверждённый город.</w:t>
      </w:r>
    </w:p>
    <w:p>
      <w:r>
        <w:t>Площадка не выбрана; границы, права на землю, изыскания, население, мощности, CAPEX/OPEX и строительный график не установлены. Ограниченный пилот ZE-01 не предусматривает строительство города.</w:t>
      </w:r>
    </w:p>
    <w:p>
      <w:r>
        <w:t>https://speczashchita.com/fenix.html</w:t>
      </w:r>
    </w:p>
    <w:p>
      <w:r>
        <w:br w:type="page"/>
      </w:r>
    </w:p>
    <w:p>
      <w:pPr>
        <w:pStyle w:val="Subtitle"/>
      </w:pPr>
      <w:r>
        <w:t>02 / КОНЦЕПЦИЯ</w:t>
      </w:r>
    </w:p>
    <w:p>
      <w:pPr>
        <w:pStyle w:val="Title"/>
      </w:pPr>
      <w:r>
        <w:t>На чём основана концепция</w:t>
      </w:r>
    </w:p>
    <w:p>
      <w:r>
        <w:t>ФЕНИКС описывает добровольную систему саморазвития: личный выбор → знания → практика с поддержкой → проверяемый результат → сохранение и передача опыта. Городская среда в новой концепции предлагает доступные места для этого пути: библиотеки, мастерские, лаборатории, образовательные центры и Архив.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t>Слой</w:t>
            </w:r>
          </w:p>
        </w:tc>
        <w:tc>
          <w:tcPr>
            <w:tcW w:type="dxa" w:w="3289"/>
          </w:tcPr>
          <w:p>
            <w:r>
              <w:t>Содержание</w:t>
            </w:r>
          </w:p>
        </w:tc>
        <w:tc>
          <w:tcPr>
            <w:tcW w:type="dxa" w:w="3289"/>
          </w:tcPr>
          <w:p>
            <w:r>
              <w:t>Статус</w:t>
            </w:r>
          </w:p>
        </w:tc>
      </w:tr>
      <w:tr>
        <w:trPr>
          <w:cantSplit/>
        </w:trPr>
        <w:tc>
          <w:tcPr>
            <w:tcW w:type="dxa" w:w="3289"/>
          </w:tcPr>
          <w:p>
            <w:pPr>
              <w:spacing w:after="80"/>
            </w:pPr>
            <w:r>
              <w:rPr>
                <w:sz w:val="18"/>
              </w:rPr>
              <w:t>8 файлов ФЕНИКС</w:t>
            </w:r>
          </w:p>
        </w:tc>
        <w:tc>
          <w:tcPr>
            <w:tcW w:type="dxa" w:w="3289"/>
          </w:tcPr>
          <w:p>
            <w:pPr>
              <w:spacing w:after="80"/>
            </w:pPr>
            <w:r>
              <w:rPr>
                <w:sz w:val="18"/>
              </w:rPr>
              <w:t>5 DOCX и 3 PPTX; пять смысловых семейств; 17.09.2026</w:t>
            </w:r>
          </w:p>
        </w:tc>
        <w:tc>
          <w:tcPr>
            <w:tcW w:type="dxa" w:w="3289"/>
          </w:tcPr>
          <w:p>
            <w:pPr>
              <w:spacing w:after="80"/>
            </w:pPr>
            <w:r>
              <w:rPr>
                <w:sz w:val="18"/>
              </w:rPr>
              <w:t>Авторские рабочие документы 1.0 для обсуждения и согласования</w:t>
            </w:r>
          </w:p>
        </w:tc>
      </w:tr>
      <w:tr>
        <w:trPr>
          <w:cantSplit/>
        </w:trPr>
        <w:tc>
          <w:tcPr>
            <w:tcW w:type="dxa" w:w="3289"/>
          </w:tcPr>
          <w:p>
            <w:pPr>
              <w:spacing w:after="80"/>
            </w:pPr>
            <w:r>
              <w:rPr>
                <w:sz w:val="18"/>
              </w:rPr>
              <w:t>2 файла ZE-01</w:t>
            </w:r>
          </w:p>
        </w:tc>
        <w:tc>
          <w:tcPr>
            <w:tcW w:type="dxa" w:w="3289"/>
          </w:tcPr>
          <w:p>
            <w:pPr>
              <w:spacing w:after="80"/>
            </w:pPr>
            <w:r>
              <w:rPr>
                <w:sz w:val="18"/>
              </w:rPr>
              <w:t>DOCX и PPTX «Знания и Энергия»; 05.09.2026</w:t>
            </w:r>
          </w:p>
        </w:tc>
        <w:tc>
          <w:tcPr>
            <w:tcW w:type="dxa" w:w="3289"/>
          </w:tcPr>
          <w:p>
            <w:pPr>
              <w:spacing w:after="80"/>
            </w:pPr>
            <w:r>
              <w:rPr>
                <w:sz w:val="18"/>
              </w:rPr>
              <w:t>Предложение прикладного модуля и ограниченного пилота</w:t>
            </w:r>
          </w:p>
        </w:tc>
      </w:tr>
      <w:tr>
        <w:trPr>
          <w:cantSplit/>
        </w:trPr>
        <w:tc>
          <w:tcPr>
            <w:tcW w:type="dxa" w:w="3289"/>
          </w:tcPr>
          <w:p>
            <w:pPr>
              <w:spacing w:after="80"/>
            </w:pPr>
            <w:r>
              <w:rPr>
                <w:sz w:val="18"/>
              </w:rPr>
              <w:t>Связанные первоисточники</w:t>
            </w:r>
          </w:p>
        </w:tc>
        <w:tc>
          <w:tcPr>
            <w:tcW w:type="dxa" w:w="3289"/>
          </w:tcPr>
          <w:p>
            <w:pPr>
              <w:spacing w:after="80"/>
            </w:pPr>
            <w:r>
              <w:rPr>
                <w:sz w:val="18"/>
              </w:rPr>
              <w:t>«Города Знания», природно-техническая система, SUR, «Белая книга Судьбы»</w:t>
            </w:r>
          </w:p>
        </w:tc>
        <w:tc>
          <w:tcPr>
            <w:tcW w:type="dxa" w:w="3289"/>
          </w:tcPr>
          <w:p>
            <w:pPr>
              <w:spacing w:after="80"/>
            </w:pPr>
            <w:r>
              <w:rPr>
                <w:sz w:val="18"/>
              </w:rPr>
              <w:t>Источники функций, схем управления и композиционных моделей</w:t>
            </w:r>
          </w:p>
        </w:tc>
      </w:tr>
      <w:tr>
        <w:trPr>
          <w:cantSplit/>
        </w:trPr>
        <w:tc>
          <w:tcPr>
            <w:tcW w:type="dxa" w:w="3289"/>
          </w:tcPr>
          <w:p>
            <w:pPr>
              <w:spacing w:after="80"/>
            </w:pPr>
            <w:r>
              <w:rPr>
                <w:sz w:val="18"/>
              </w:rPr>
              <w:t>Новая концепция</w:t>
            </w:r>
          </w:p>
        </w:tc>
        <w:tc>
          <w:tcPr>
            <w:tcW w:type="dxa" w:w="3289"/>
          </w:tcPr>
          <w:p>
            <w:pPr>
              <w:spacing w:after="80"/>
            </w:pPr>
            <w:r>
              <w:rPr>
                <w:sz w:val="18"/>
              </w:rPr>
              <w:t>Название городского синтеза, размещение кварталов, архитектурные образы, φ-композиция</w:t>
            </w:r>
          </w:p>
        </w:tc>
        <w:tc>
          <w:tcPr>
            <w:tcW w:type="dxa" w:w="3289"/>
          </w:tcPr>
          <w:p>
            <w:pPr>
              <w:spacing w:after="80"/>
            </w:pPr>
            <w:r>
              <w:rPr>
                <w:sz w:val="18"/>
              </w:rPr>
              <w:t>Редакционная и художественная разработка 28.09.2026</w:t>
            </w:r>
          </w:p>
        </w:tc>
      </w:tr>
    </w:tbl>
    <w:p>
      <w:pPr>
        <w:pStyle w:val="Heading2"/>
      </w:pPr>
      <w:r>
        <w:t>Три значения энергии</w:t>
      </w:r>
    </w:p>
    <w:p>
      <w:r>
        <w:t>Личный ресурс — время, внимание и посильная нагрузка. Совместные усилия — роли, труд и взаимопомощь. Физическая энергия — объект, прибор, период и единицы измерения. Эти значения связаны общей задачей, но не подменяют друг друга.</w:t>
      </w:r>
    </w:p>
    <w:p>
      <w:pPr>
        <w:pStyle w:val="Heading2"/>
      </w:pPr>
      <w:r>
        <w:t>Что не следует переносить между источниками</w:t>
      </w:r>
    </w:p>
    <w:p>
      <w:r>
        <w:t>Рабочие документы ФЕНИКС 2026 года не следует выдавать за утверждённую университетскую программу. 12 недель — предложенный учебный маршрут, а не строительный срок. Площадь 67,21 га из другого документа о Сафари-парке не является площадью нового города. Одобрение внешними организациями и подтверждённая эффективность этой концепции не заявляются.</w:t>
      </w:r>
    </w:p>
    <w:p>
      <w:pPr>
        <w:spacing w:before="140"/>
      </w:pPr>
      <w:r>
        <w:rPr>
          <w:color w:val="546C65"/>
          <w:sz w:val="16"/>
        </w:rPr>
        <w:t>Источник: /fenix/library/catalog.json; /knowledge/goroda-znaniya</w:t>
      </w:r>
    </w:p>
    <w:p>
      <w:r>
        <w:br w:type="page"/>
      </w:r>
    </w:p>
    <w:p>
      <w:pPr>
        <w:pStyle w:val="Subtitle"/>
      </w:pPr>
      <w:r>
        <w:t>03 / КОНЦЕПЦИЯ</w:t>
      </w:r>
    </w:p>
    <w:p>
      <w:pPr>
        <w:pStyle w:val="Title"/>
      </w:pPr>
      <w:r>
        <w:t>Восемь городских контуров</w:t>
      </w:r>
    </w:p>
    <w:p>
      <w:r>
        <w:t>Источник задаёт восемь функций обучающейся городской среды. Новый генплан переводит их в условные пространства: центральный университет и форум, лабораторный сад, Архив, мастерские, поддержку здоровья, гражданскую площадь, цифровую мастерскую и природный контур.</w:t>
      </w:r>
    </w:p>
    <w:p>
      <w:r>
        <w:drawing>
          <wp:inline xmlns:a="http://schemas.openxmlformats.org/drawingml/2006/main" xmlns:pic="http://schemas.openxmlformats.org/drawingml/2006/picture">
            <wp:extent cx="5256000" cy="36135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sterplan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56000" cy="361350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t>Контур</w:t>
            </w:r>
          </w:p>
        </w:tc>
        <w:tc>
          <w:tcPr>
            <w:tcW w:type="dxa" w:w="4933"/>
          </w:tcPr>
          <w:p>
            <w:r>
              <w:t>Функция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Образование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Непрерывная траектория обучения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Наука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Исследование городских задач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Культура / архив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Память и смысловая навигация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Производство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Ответственное применение знаний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Здоровье и поддержка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Профилактика и поддержка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Гражданское управление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Совместная постановка задач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Цифровая инфраструктура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Совместимость и доказательность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Биосфера / пища / вода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Экологическая устойчивость</w:t>
            </w:r>
          </w:p>
        </w:tc>
      </w:tr>
    </w:tbl>
    <w:p>
      <w:pPr>
        <w:spacing w:before="140"/>
      </w:pPr>
      <w:r>
        <w:rPr>
          <w:color w:val="546C65"/>
          <w:sz w:val="16"/>
        </w:rPr>
        <w:t>Источник: /knowledge/goroda-znaniya, блок 35. Схема /fenix/masterplan.svg — новое размещение без масштаба и участка.</w:t>
      </w:r>
    </w:p>
    <w:p>
      <w:r>
        <w:br w:type="page"/>
      </w:r>
    </w:p>
    <w:p>
      <w:pPr>
        <w:pStyle w:val="Subtitle"/>
      </w:pPr>
      <w:r>
        <w:t>04 / КОНЦЕПЦИЯ</w:t>
      </w:r>
    </w:p>
    <w:p>
      <w:pPr>
        <w:pStyle w:val="Title"/>
      </w:pPr>
      <w:r>
        <w:t>Природно-техническая система</w:t>
      </w:r>
    </w:p>
    <w:p>
      <w:r>
        <w:t>Шесть узлов описывают связи природы, инженерии и доказательств. Пространственные образы ниже — перевод функций в концепцию, а не спецификация оборудования или установленной мощности.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t>Узел</w:t>
            </w:r>
          </w:p>
        </w:tc>
        <w:tc>
          <w:tcPr>
            <w:tcW w:type="dxa" w:w="4933"/>
          </w:tcPr>
          <w:p>
            <w:r>
              <w:t>Роль в городской среде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Природа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Водно-зелёный каркас, почвы, местообитания и наблюдаемые участки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Энергия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Распределённая генерация, накопители, микросеть и резерв критических нагрузок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Экомодули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Очистка, восстановление и переработка материальных потоков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Робототехника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Инспекция, мобильные измерения и обслуживаемые роботизированные станции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Цифровой двойник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Данные, модели, прогнозы и сравнение сценариев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Валидация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Метрология, лаборатория, независимая проверка и архив доказательств</w:t>
            </w:r>
          </w:p>
        </w:tc>
      </w:tr>
    </w:tbl>
    <w:p>
      <w:pPr>
        <w:pStyle w:val="Heading2"/>
      </w:pPr>
      <w:r>
        <w:t>Рабочий цикл</w:t>
      </w:r>
    </w:p>
    <w:p>
      <w:r>
        <w:t>Наблюдение → измерение → определение состояния → цифровой двойник → прогноз → воздействие → контрольное измерение → верификация → валидация → коррекция → Архив доказательств.</w:t>
      </w:r>
    </w:p>
    <w:p>
      <w:pPr>
        <w:pStyle w:val="Heading2"/>
      </w:pPr>
      <w:r>
        <w:t>Что должно быть установлено до обещания эффекта</w:t>
      </w:r>
    </w:p>
    <w:p>
      <w:r>
        <w:t>Граница объекта, исходный уровень, метод измерения, единицы, сезонность, приборы, неопределённость, ответственный и независимый проверяющий. Модель прогнозирует сценарий; факт подтверждается наблюдениями в определённой области применимости.</w:t>
      </w:r>
    </w:p>
    <w:p>
      <w:r>
        <w:t>Самовалидация в источнике — целевая архитектура с независимой проверкой. Она не означает, что система автоматически подтверждает собственные заявления. Ответственные решения в городской среде требуют человеческого рассмотрения.</w:t>
      </w:r>
    </w:p>
    <w:p>
      <w:pPr>
        <w:spacing w:before="140"/>
      </w:pPr>
      <w:r>
        <w:rPr>
          <w:color w:val="546C65"/>
          <w:sz w:val="16"/>
        </w:rPr>
        <w:t>Источник: /knowledge/samovalidiruyushchayasya-prirodno-tekhnicheskaya-sistema; /knowledge/goroda-znaniya</w:t>
      </w:r>
    </w:p>
    <w:p>
      <w:r>
        <w:br w:type="page"/>
      </w:r>
    </w:p>
    <w:p>
      <w:pPr>
        <w:pStyle w:val="Subtitle"/>
      </w:pPr>
      <w:r>
        <w:t>05 / КОНЦЕПЦИЯ</w:t>
      </w:r>
    </w:p>
    <w:p>
      <w:pPr>
        <w:pStyle w:val="Title"/>
      </w:pPr>
      <w:r>
        <w:t>SUR и адресация модели</w:t>
      </w:r>
    </w:p>
    <w:p>
      <w:r>
        <w:t>SUR — проектируемая система управления развитием. В городской концепции она предлагается как способ связывать цели, ресурсы, исполнение, доказательства и пересмотр. Она не заменяет органы власти и законные полномочия.</w:t>
      </w:r>
    </w:p>
    <w:p>
      <w:r>
        <w:drawing>
          <wp:inline xmlns:a="http://schemas.openxmlformats.org/drawingml/2006/main" xmlns:pic="http://schemas.openxmlformats.org/drawingml/2006/picture">
            <wp:extent cx="6192000" cy="34056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ur-cycl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3405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Восемь шагов: Цель → Исходное состояние → Решение → Ресурс → Исполнение → Результат → Независимая проверка → Корректировка.</w:t>
      </w:r>
    </w:p>
    <w:p>
      <w:pPr>
        <w:pStyle w:val="Heading2"/>
      </w:pPr>
      <w:r>
        <w:t>19 × 13 × 3 = 741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t>Модель</w:t>
            </w:r>
          </w:p>
        </w:tc>
        <w:tc>
          <w:tcPr>
            <w:tcW w:type="dxa" w:w="4933"/>
          </w:tcPr>
          <w:p>
            <w:r>
              <w:t>Смысл трёх осей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ФЕНИКС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19 направлений × 13 полей × 3 слоя: образ, эталон, факт.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SUR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19 балансов × 13 фаз × 3 масштаба: федеральный, региональный, муниципальный / объектовый / проектный.</w:t>
            </w:r>
          </w:p>
        </w:tc>
      </w:tr>
    </w:tbl>
    <w:p>
      <w:r>
        <w:t>741 — число адресуемых элементов соответствующей модели. Совпадение числа не делает две модели тождественными, не задаёт число жителей или зданий и не доказывает экологическую, экономическую либо управленческую эффективность.</w:t>
      </w:r>
    </w:p>
    <w:p>
      <w:pPr>
        <w:spacing w:before="140"/>
      </w:pPr>
      <w:r>
        <w:rPr>
          <w:color w:val="546C65"/>
          <w:sz w:val="16"/>
        </w:rPr>
        <w:t>Источник: ФЕНИКС «Основы»; /knowledge/sur-810-master-dokument. Цикл восьми шагов — визуальное обобщение.</w:t>
      </w:r>
    </w:p>
    <w:p>
      <w:r>
        <w:br w:type="page"/>
      </w:r>
    </w:p>
    <w:p>
      <w:pPr>
        <w:pStyle w:val="Subtitle"/>
      </w:pPr>
      <w:r>
        <w:t>06 / КОНЦЕПЦИЯ</w:t>
      </w:r>
    </w:p>
    <w:p>
      <w:pPr>
        <w:pStyle w:val="Title"/>
      </w:pPr>
      <w:r>
        <w:t>Геометрия как язык композиции</w:t>
      </w:r>
    </w:p>
    <w:p>
      <w:r>
        <w:t>Геометрическая организация помогает видеть связи, центры внимания и последовательность движения. В этой концепции она служит художественной и навигационной задаче.</w:t>
      </w:r>
    </w:p>
    <w:p>
      <w:r>
        <w:drawing>
          <wp:inline xmlns:a="http://schemas.openxmlformats.org/drawingml/2006/main" xmlns:pic="http://schemas.openxmlformats.org/drawingml/2006/picture">
            <wp:extent cx="6192000" cy="33282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eometry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3328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φ ≈ 1,618</w:t>
      </w:r>
    </w:p>
    <w:p>
      <w:r>
        <w:t>Золотое сечение предложено здесь как новое композиционное решение. В просмотренных первичных текстах оно не найдено как обязательное правило планировки. Применение φ не подтверждает энергоэффективность, качество среды или жизнеспособность проекта.</w:t>
      </w:r>
    </w:p>
    <w:p>
      <w:pPr>
        <w:pStyle w:val="Heading2"/>
      </w:pPr>
      <w:r>
        <w:t>1 + 6 + 12 = 19</w:t>
      </w:r>
    </w:p>
    <w:p>
      <w:r>
        <w:t>«Белая книга Судьбы: Возрождение» содержит карту связности из 19 узлов. В этом материале она используется с указанием происхождения. Это не рейтинг участников и не нормативная схема землепользования.</w:t>
      </w:r>
    </w:p>
    <w:p>
      <w:r>
        <w:t>Ритм окружностей, дуг, прямоугольных корпусов, открытых дворов и зелёных маршрутов — новая художественная интерпретация. Инженерные расчёты и доступность потребуют отдельного проектирования после выбора реальной площадки.</w:t>
      </w:r>
    </w:p>
    <w:p>
      <w:pPr>
        <w:spacing w:before="140"/>
      </w:pPr>
      <w:r>
        <w:rPr>
          <w:color w:val="546C65"/>
          <w:sz w:val="16"/>
        </w:rPr>
        <w:t>Источник: /knowledge/belaya-kniga-sudby-vozrozhdenie, блок 35; /fenix/geometry.svg</w:t>
      </w:r>
    </w:p>
    <w:p>
      <w:r>
        <w:br w:type="page"/>
      </w:r>
    </w:p>
    <w:p>
      <w:pPr>
        <w:pStyle w:val="Subtitle"/>
      </w:pPr>
      <w:r>
        <w:t>07 / КОНЦЕПЦИЯ</w:t>
      </w:r>
    </w:p>
    <w:p>
      <w:pPr>
        <w:pStyle w:val="Title"/>
      </w:pPr>
      <w:r>
        <w:t>ZE-01: проверяемый первый шаг</w:t>
      </w:r>
    </w:p>
    <w:p>
      <w:r>
        <w:t>Модуль «Знания и Энергия» напрямую связывает Архив, науку, вычисления и энергию с пилотом «Сафари-парк — Город знания». Граница предложенного пилота: один инженерный объект, архивная коллекция, две учебные программы и стартовый профиль ОРИОН.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t>Территориальный блок</w:t>
            </w:r>
          </w:p>
        </w:tc>
        <w:tc>
          <w:tcPr>
            <w:tcW w:type="dxa" w:w="4933"/>
          </w:tcPr>
          <w:p>
            <w:r>
              <w:t>Роль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Природное ядро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Сафари-парк; сохраняемые биоценозы и согласованные режимы природопользования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Академия и кампус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Практикумы, архивная лаборатория, исследования и научные резиденции в имеющихся/согласованных помещениях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Инженерный узел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Один разрешённый объект: учёт потребления, нагрузка, варианты эксплуатации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Город знания и партнёрские площадки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Подготовка специалистов, прикладные разработки и перенос решений по соглашениям</w:t>
            </w:r>
          </w:p>
        </w:tc>
      </w:tr>
    </w:tbl>
    <w:p>
      <w:pPr>
        <w:pStyle w:val="Heading2"/>
      </w:pPr>
      <w:r>
        <w:t>90 дней подготовки</w:t>
      </w:r>
    </w:p>
    <w:p>
      <w:r>
        <w:t>Отсчёт начинается после утверждения команды, доступа и бюджета. Финансирование рассчитывается по обследованию. Строительство города, крупного центра обработки данных и обязательная покупка генерации в границу пилота не входят.</w:t>
      </w:r>
    </w:p>
    <w:p>
      <w:pPr>
        <w:pStyle w:val="Heading2"/>
      </w:pPr>
      <w:r>
        <w:t>Предложения к приёмке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t>Проверяемый выход</w:t>
            </w:r>
          </w:p>
        </w:tc>
        <w:tc>
          <w:tcPr>
            <w:tcW w:type="dxa" w:w="4933"/>
          </w:tcPr>
          <w:p>
            <w:r>
              <w:t>Предложенный ориентир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Архив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100 описанных объектов; 10 подтверждённых связей с применением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Измерения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Не менее 30 последовательных дней; не менее 95% валидных интервалов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Сценарии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Три варианта при одинаковых требованиях к услуге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Обучение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Две программы; численность по ресурсам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Профиль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12 паспортов показателей; одна проверка восстановления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Решение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Независимый разбор; продолжить / доработать / остановить</w:t>
            </w:r>
          </w:p>
        </w:tc>
      </w:tr>
    </w:tbl>
    <w:p>
      <w:r>
        <w:t>Все ориентиры — предложения для согласования. Это не достигнутые показатели и не отраслевые нормативы. Для 12 паспортов метрик исходные значения в документе не установлены.</w:t>
      </w:r>
    </w:p>
    <w:p>
      <w:pPr>
        <w:spacing w:before="140"/>
      </w:pPr>
      <w:r>
        <w:rPr>
          <w:color w:val="546C65"/>
          <w:sz w:val="16"/>
        </w:rPr>
        <w:t>Источник: /fenix/library/knowledge-energy-ze01-document.html; /fenix/library/knowledge-energy-ze01-presentation.html</w:t>
      </w:r>
    </w:p>
    <w:p>
      <w:r>
        <w:br w:type="page"/>
      </w:r>
    </w:p>
    <w:p>
      <w:pPr>
        <w:pStyle w:val="Subtitle"/>
      </w:pPr>
      <w:r>
        <w:t>08 / КОНЦЕПЦИЯ</w:t>
      </w:r>
    </w:p>
    <w:p>
      <w:pPr>
        <w:pStyle w:val="Title"/>
      </w:pPr>
      <w:r>
        <w:t>Аннотации первоисточников · 1/2</w:t>
      </w:r>
    </w:p>
    <w:p>
      <w:r>
        <w:t>В библиотеке сохранены 10 уникальных исходных файлов без изменения байтов. DOCX и PPTX аннотируются отдельно. Полные читабельные тексты и исходники доступны на странице ФЕНИКС.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t>Документ / презентация</w:t>
            </w:r>
          </w:p>
        </w:tc>
        <w:tc>
          <w:tcPr>
            <w:tcW w:type="dxa" w:w="4933"/>
          </w:tcPr>
          <w:p>
            <w:r>
              <w:t>Краткая аннотация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ФЕНИКС — Эволюционная система</w:t>
              <w:br/>
              <w:t>DOCX · 2026-09-17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Концепция добровольной программы народного саморазвития «Знания и энергия»: личный выбор, обучение, наставничество и совместная практика. Документ связывает 13 контуров развития с 19 направлениями и описывает предлагаемый 12-недельный пилот, роли, результаты и условия согласования.</w:t>
              <w:br/>
              <w:t>Файл: fenix-evolution-program.docx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ФЕНИКС — Основы. Базовый документ</w:t>
              <w:br/>
              <w:t>DOCX · 2026-09-17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Общие принципы, язык, права участника и порядок совместной работы ФЕНИКС. Основы объясняют, как связываются свободный выбор, культура, научная проверка и практика, и показывают место остальных документов серии; они не заменяют учебные модули или документы о квалификации.</w:t>
              <w:br/>
              <w:t>Файл: fenix-foundations.docx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ФЕНИКС — Культура и наука. Учебно-методический документ</w:t>
              <w:br/>
              <w:t>DOCX · 2026-09-17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Развёрнутый модуль саморазвития для взрослых: восемь учебных модулей, 19 направлений практики и шесть рабочих форм. Предлагает маршрут на 12 недель и 36 часов, культурную работу, исследовательскую задачу, проверку результата и сохранение опыта; сроки и условия требуют согласования.</w:t>
              <w:br/>
              <w:t>Файл: fenix-culture-science-document.docx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ФЕНИКС — Культура и наука. Презентация</w:t>
              <w:br/>
              <w:t>PPTX · 2026-09-17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Слайдовая версия учебного модуля: путь «понимать — исследовать — создавать — передавать», четыре предъявляемых результата участника и организация занятий. Слайды помогают представить модель обучения, а подробные формы и требования раскрываются в парном документе DOCX.</w:t>
              <w:br/>
              <w:t>Файл: fenix-culture-science-presentation.pptx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ФЕНИКС — Конструктор идеального эталона. Документ</w:t>
              <w:br/>
              <w:t>DOCX · 2026-09-17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Методика перехода от желаемого образа к рабочему паспорту результата: 19 направлений, 13 полей паспорта и 20 проверок. Разделяет образ, требования и фактические данные, описывает ресурсы, ответственность и обновление версии; эталон относится к работе, а не к ценности личности.</w:t>
              <w:br/>
              <w:t>Файл: fenix-ideal-benchmark-document.docx</w:t>
            </w:r>
          </w:p>
        </w:tc>
      </w:tr>
    </w:tbl>
    <w:p>
      <w:r>
        <w:t>Первые восемь файлов — ФЕНИКС, рабочая редакция 1.0 от 17.09.2026. Последние два — сопутствующий модуль ZE-01 от 05.09.2026. Комплект не объявляется утверждённым генпланом или государственной программой.</w:t>
      </w:r>
    </w:p>
    <w:p>
      <w:pPr>
        <w:spacing w:before="140"/>
      </w:pPr>
      <w:r>
        <w:rPr>
          <w:color w:val="546C65"/>
          <w:sz w:val="16"/>
        </w:rPr>
        <w:t>Источник: /fenix/library/catalog.json; архив /fenix/library/fenix-source-collection.zip</w:t>
      </w:r>
    </w:p>
    <w:p>
      <w:r>
        <w:br w:type="page"/>
      </w:r>
    </w:p>
    <w:p>
      <w:pPr>
        <w:pStyle w:val="Subtitle"/>
      </w:pPr>
      <w:r>
        <w:t>09 / КОНЦЕПЦИЯ</w:t>
      </w:r>
    </w:p>
    <w:p>
      <w:pPr>
        <w:pStyle w:val="Title"/>
      </w:pPr>
      <w:r>
        <w:t>Аннотации первоисточников · 2/2</w:t>
      </w:r>
    </w:p>
    <w:p>
      <w:r>
        <w:t>В библиотеке сохранены 10 уникальных исходных файлов без изменения байтов. DOCX и PPTX аннотируются отдельно. Полные читабельные тексты и исходники доступны на странице ФЕНИКС.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t>Документ / презентация</w:t>
            </w:r>
          </w:p>
        </w:tc>
        <w:tc>
          <w:tcPr>
            <w:tcW w:type="dxa" w:w="4933"/>
          </w:tcPr>
          <w:p>
            <w:r>
              <w:t>Краткая аннотация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ФЕНИКС — Конструктор идеального эталона. Презентация</w:t>
              <w:br/>
              <w:t>PPTX · 2026-09-17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Презентация рабочего конструктора: запрос, согласованный эталон, действие, доказательства и новая версия. Показывает различие образа, эталона и факта, структуру паспорта и порядок решения по результату; это краткий визуальный вход в подробную методику DOCX.</w:t>
              <w:br/>
              <w:t>Файл: fenix-ideal-benchmark-presentation.pptx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ФЕНИКС — Том II. Практика саморазвития. Документ</w:t>
              <w:br/>
              <w:t>DOCX · 2026-09-17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Практическое продолжение «Основ»: личный маршрут, наставник, мастерская, собственная работа, проверка результата и передача опыта. Содержит упражнения и формуляры, пример цикла 12 недель / 36 часов и связь с 19 направлениями, 13 полями и 20 проверками; предложенный график не является обязательным нормативом.</w:t>
              <w:br/>
              <w:t>Файл: fenix-practice-volume-two-document.docx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ФЕНИКС — Том II. Практика саморазвития. Презентация</w:t>
              <w:br/>
              <w:t>PPTX · 2026-09-17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Слайдовый маршрут от личного выбора к общему делу: выбрать вопрос, создать работу, проверить результат и сохранить опыт. Различает готовый продукт, освоенный навык и полученный эффект, показывает роль наставника и мастерской и связь второго тома с «Основами».</w:t>
              <w:br/>
              <w:t>Файл: fenix-practice-volume-two-presentation.pptx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Знания и Энергия — прикладной модуль ZE-01. Документ</w:t>
              <w:br/>
              <w:t>DOCX · 2026-09-05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Сопутствующий документ Нового Уклада о связке Архива, науки, вычислений, энергетики и измеримого результата. Предлагает подготовить ограниченный пилот ZE-01 «Сафари-парк — Город знания»: один инженерный узел, учебные программы и проверка пользы. Строительство города и крупного центра обработки данных прямо выведено за границы первого пилота.</w:t>
              <w:br/>
              <w:t>Файл: knowledge-energy-ze01-document.docx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Знания и Энергия — прикладной модуль ZE-01. Презентация</w:t>
              <w:br/>
              <w:t>PPTX · 2026-09-05</w:t>
            </w:r>
          </w:p>
        </w:tc>
        <w:tc>
          <w:tcPr>
            <w:tcW w:type="dxa" w:w="4933"/>
          </w:tcPr>
          <w:p>
            <w:pPr>
              <w:spacing w:after="80"/>
            </w:pPr>
            <w:r>
              <w:rPr>
                <w:sz w:val="18"/>
              </w:rPr>
              <w:t>Презентация концепции «Знания и Энергия»: Архив и ГРИД, образовательная среда, надёжность энергетических услуг и сохранение природного ядра. Показывает пилот «Сафари-парк — Город знания», переход от узла к сети территорий и решения для старта; визуальный образ в источнике не назван утверждённым мастер-планом.</w:t>
              <w:br/>
              <w:t>Файл: knowledge-energy-ze01-presentation.pptx</w:t>
            </w:r>
          </w:p>
        </w:tc>
      </w:tr>
    </w:tbl>
    <w:p>
      <w:r>
        <w:t>Первые восемь файлов — ФЕНИКС, рабочая редакция 1.0 от 17.09.2026. Последние два — сопутствующий модуль ZE-01 от 05.09.2026. Комплект не объявляется утверждённым генпланом или государственной программой.</w:t>
      </w:r>
    </w:p>
    <w:p>
      <w:pPr>
        <w:spacing w:before="140"/>
      </w:pPr>
      <w:r>
        <w:rPr>
          <w:color w:val="546C65"/>
          <w:sz w:val="16"/>
        </w:rPr>
        <w:t>Источник: /fenix/library/catalog.json; архив /fenix/library/fenix-source-collection.zip</w:t>
      </w:r>
    </w:p>
    <w:p>
      <w:r>
        <w:br w:type="page"/>
      </w:r>
    </w:p>
    <w:p>
      <w:pPr>
        <w:pStyle w:val="Subtitle"/>
      </w:pPr>
      <w:r>
        <w:t>10 / КОНЦЕПЦИЯ</w:t>
      </w:r>
    </w:p>
    <w:p>
      <w:pPr>
        <w:pStyle w:val="Title"/>
      </w:pPr>
      <w:r>
        <w:t>Следующий шаг и источники</w:t>
      </w:r>
    </w:p>
    <w:p>
      <w:pPr>
        <w:pStyle w:val="Heading2"/>
      </w:pPr>
      <w:r>
        <w:t>Предлагаемая последовательность</w:t>
      </w:r>
    </w:p>
    <w:p>
      <w:pPr>
        <w:pStyle w:val="Heading3"/>
      </w:pPr>
      <w:r>
        <w:t>Согласовать задачу</w:t>
      </w:r>
    </w:p>
    <w:p>
      <w:r>
        <w:t>Определить общественный смысл, участников, территориальную границу и перечень открытых вопросов.</w:t>
      </w:r>
    </w:p>
    <w:p>
      <w:pPr>
        <w:pStyle w:val="Heading3"/>
      </w:pPr>
      <w:r>
        <w:t>Снять исходное состояние</w:t>
      </w:r>
    </w:p>
    <w:p>
      <w:r>
        <w:t>Выбрать объект, получить законный доступ, описать метод, показатели и доступные ресурсы.</w:t>
      </w:r>
    </w:p>
    <w:p>
      <w:pPr>
        <w:pStyle w:val="Heading3"/>
      </w:pPr>
      <w:r>
        <w:t>Провести ограниченный пилот</w:t>
      </w:r>
    </w:p>
    <w:p>
      <w:r>
        <w:t>Зафиксировать протокол, обратимость действий и критерий остановки. Сохранить отрицательные результаты.</w:t>
      </w:r>
    </w:p>
    <w:p>
      <w:pPr>
        <w:pStyle w:val="Heading3"/>
      </w:pPr>
      <w:r>
        <w:t>Проверить и решить</w:t>
      </w:r>
    </w:p>
    <w:p>
      <w:r>
        <w:t>Провести независимый разбор; продолжить, доработать либо остановить. Масштабирование возможно в подтверждённых границах.</w:t>
      </w:r>
    </w:p>
    <w:p>
      <w:pPr>
        <w:pStyle w:val="Heading2"/>
      </w:pPr>
      <w:r>
        <w:t>Публичные источники</w:t>
      </w:r>
    </w:p>
    <w:p>
      <w:r>
        <w:t>https://speczashchita.com/knowledge/goroda-znaniya</w:t>
      </w:r>
    </w:p>
    <w:p>
      <w:r>
        <w:t>https://speczashchita.com/knowledge/samovalidiruyushchayasya-prirodno-tekhnicheskaya-sistema</w:t>
      </w:r>
    </w:p>
    <w:p>
      <w:r>
        <w:t>https://speczashchita.com/knowledge/sur-810-master-dokument</w:t>
      </w:r>
    </w:p>
    <w:p>
      <w:r>
        <w:t>https://speczashchita.com/knowledge/belaya-kniga-sudby-vozrozhdenie</w:t>
      </w:r>
    </w:p>
    <w:p>
      <w:r>
        <w:t>https://speczashchita.com/fenix.html</w:t>
        <w:br/>
        <w:t>https://speczashchita.com/fenix/library/catalog.json</w:t>
        <w:br/>
        <w:t>https://speczashchita.com/print/index.html</w:t>
      </w:r>
    </w:p>
    <w:p>
      <w:pPr>
        <w:pStyle w:val="Heading2"/>
      </w:pPr>
      <w:r>
        <w:t>Происхождение и ограничения</w:t>
      </w:r>
    </w:p>
    <w:p>
      <w:r>
        <w:t>Текст подготовлен по первичным авторским материалам, доступным в библиотеке. Архитектурные изображения, пространственная схема и золотое сечение в композиции — новые визуализации для обсуждения. Самостоятельного утверждённого генплана с точным названием «Город Знания и Энергии» среди просмотренных материалов не найдено. Техническая, экономическая и территориальная реализуемость нового города пока не подтверждена.</w:t>
      </w:r>
    </w:p>
    <w:p>
      <w:r>
        <w:t>Редакция 1.0 · 28 сентября 2026 · СПЕЦЗАЩИТА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Концепция · 28.09.2026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ФЕНИКС / ГОРОД ЗНАНИЯ И ЭНЕРГИИ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DejaVu Sans" w:hAnsi="DejaVu Sans"/>
      <w:color w:val="153D3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8796D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8796D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DejaVu Sans" w:hAnsi="DejaVu Sans"/>
      <w:b/>
      <w:bCs/>
      <w:color w:val="08796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8796D"/>
      <w:spacing w:val="5"/>
      <w:kern w:val="28"/>
      <w:sz w:val="6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40"/>
    </w:pPr>
    <w:rPr>
      <w:rFonts w:ascii="DejaVu Sans" w:hAnsi="DejaVu Sans"/>
      <w:color w:val="153D36"/>
      <w:sz w:val="21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ФЕНИКС — Город Знания и Энергии</dc:title>
  <dc:subject>Концептуальный синтез первичных авторских материалов</dc:subject>
  <dc:creator>СПЕЦЗАЩИТА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