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color w:val="19766C"/>
          <w:sz w:val="18"/>
        </w:rPr>
        <w:t>БЕЛАЯ КНИГА РАЗВИТИЯ  /  ПРИКЛАДНОЙ МОДУЛЬ</w:t>
      </w:r>
    </w:p>
    <w:p>
      <w:pPr>
        <w:pStyle w:val="Heading1"/>
      </w:pPr>
      <w:r>
        <w:t>НОВЫЙ</w:t>
        <w:br/>
        <w:t>МИРОВОЙ УКЛАД</w:t>
      </w:r>
    </w:p>
    <w:p>
      <w:pPr>
        <w:pStyle w:val="Subtitle"/>
      </w:pPr>
      <w:r>
        <w:rPr>
          <w:b/>
        </w:rPr>
        <w:t>ЗНАНИЯ И ЭНЕРГИЯ</w:t>
      </w:r>
    </w:p>
    <w:p>
      <w:r>
        <w:rPr>
          <w:b/>
        </w:rPr>
        <w:t>Архив → наука → вычисления → энергия → полезный результат</w:t>
      </w:r>
    </w:p>
    <w:p>
      <w:r>
        <w:drawing>
          <wp:inline xmlns:a="http://schemas.openxmlformats.org/drawingml/2006/main" xmlns:pic="http://schemas.openxmlformats.org/drawingml/2006/picture">
            <wp:extent cx="6120000" cy="3444330"/>
            <wp:docPr id="1" name="Picture 1" descr="Концептуальная инфографика «Новый Мировой Уклад — Знания и Энергия»: Архив, наука, человек, технологии, экология и энергетика объединены вокруг Города знания. Художественный образ, не генеральный план." title="Знания и Энергия — концепция ЭКВИЛИБРИУ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новый_мировой_уклад_знания_и_энерги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4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Концептуальная иллюстрация. Не генеральный план и не описание построенных объектов.</w:t>
      </w:r>
    </w:p>
    <w:p>
      <w:pPr>
        <w:pStyle w:val="Heading2"/>
      </w:pPr>
      <w:r>
        <w:t>Знания задают направление.</w:t>
        <w:br/>
        <w:t>Энергия обеспечивает действие.</w:t>
      </w:r>
    </w:p>
    <w:p>
      <w:r>
        <w:rPr>
          <w:b w:val="0"/>
        </w:rPr>
        <w:t>Модель согласованного развития человека, природной среды и технологической инфраструктуры. От пилота «Сафари-парк — Город знания» к сети территорий, которые обмениваются проверенными решениями.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Архив сохраняет основания. Академия создаёт компетенции. ГРИД проверяет сценарии. Энергетика обеспечивает работу. Многомерный профиль показывает результат.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rPr>
          <w:b/>
        </w:rPr>
        <w:t>Подготовлено для Соколова Сергея Леонидовича</w:t>
      </w:r>
    </w:p>
    <w:p>
      <w:pPr>
        <w:pStyle w:val="Caption"/>
      </w:pPr>
      <w:r>
        <w:rPr>
          <w:b w:val="0"/>
        </w:rPr>
        <w:t>5 сентября 2026 года  |  Версия 1.0  |  Модуль ZE-01</w:t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01 / РЕШЕНИЕ В ОДНОМ ЛИСТЕ</w:t>
      </w:r>
    </w:p>
    <w:p>
      <w:pPr>
        <w:pStyle w:val="Heading1"/>
      </w:pPr>
      <w:r>
        <w:t>Два ресурса — один цикл развития</w:t>
      </w:r>
    </w:p>
    <w:p>
      <w:r>
        <w:rPr>
          <w:b w:val="0"/>
        </w:rPr>
        <w:t>Предлагается развивать «Знания и Энергию» как прикладной модуль ЭКВИЛИБРИУМ: обеспечивать каждую общественно полезную задачу проверенным знанием, компетентным исполнителем, измеряемым ресурсом и ответственностью за результат. Модуль дополняет, а не заменяет ранее подготовленные документы о Новом Укладе и Городе знания. [П1–П3]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  <w:tblHeader/>
        </w:trPr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соединяем</w:t>
            </w:r>
          </w:p>
        </w:tc>
        <w:tc>
          <w:tcPr>
            <w:tcW w:type="dxa" w:w="663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получаем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Архив, исследования, образование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Повторно используемые материалы, воспроизводимые методы и подготовленных участников.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Энергоснабжение, учёт, управление нагрузкой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Обоснованный профиль потребления и выбор вариантов снабжения без потери качества услуг.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ГРИД, реестры, Учётную группу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Сопоставимые сценарии, связанные балансы и прослеживаемое досье решения.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Город знания и многомерные рейтинги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Проверку пользы для человека, территории и природы, а не только роста расходов или мощности.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Предлагаемое первое решение</w:t>
      </w:r>
    </w:p>
    <w:p>
      <w:r>
        <w:rPr>
          <w:b w:val="0"/>
        </w:rPr>
        <w:t>Утвердить 90-дневную подготовку пилота ZE-01 в составе NMU-P001 «Сафари-парк — Город знания». Назначить владельцев знаний, инженерного узла и методики; согласовать доступ к материалам и измерениям; после обследования определить бюджет и предел работ. Строительство нового города, электростанции или крупного центра обработки данных в стартовое решение не входит.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1871"/>
      </w:tblGrid>
      <w:tr>
        <w:trPr>
          <w:cantSplit/>
          <w:tblHeader/>
        </w:trPr>
        <w:tc>
          <w:tcPr>
            <w:tcW w:type="dxa" w:w="7767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Навигация</w:t>
            </w:r>
          </w:p>
        </w:tc>
        <w:tc>
          <w:tcPr>
            <w:tcW w:type="dxa" w:w="187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Страницы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Смена парадигмы и архитектура</w:t>
            </w:r>
          </w:p>
        </w:tc>
        <w:tc>
          <w:tcPr>
            <w:tcW w:type="dxa" w:w="187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3–4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Архив, Академия и Вычислительный ГРИД</w:t>
            </w:r>
          </w:p>
        </w:tc>
        <w:tc>
          <w:tcPr>
            <w:tcW w:type="dxa" w:w="187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5–7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Энергетика, договорная модель и балансы</w:t>
            </w:r>
          </w:p>
        </w:tc>
        <w:tc>
          <w:tcPr>
            <w:tcW w:type="dxa" w:w="187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8–12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Многомерные рейтинги и расчётный пример</w:t>
            </w:r>
          </w:p>
        </w:tc>
        <w:tc>
          <w:tcPr>
            <w:tcW w:type="dxa" w:w="187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13–16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Пилот, ответственность и дорожная карта</w:t>
            </w:r>
          </w:p>
        </w:tc>
        <w:tc>
          <w:tcPr>
            <w:tcW w:type="dxa" w:w="187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17–21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Данные, проект решения и источники</w:t>
            </w:r>
          </w:p>
        </w:tc>
        <w:tc>
          <w:tcPr>
            <w:tcW w:type="dxa" w:w="187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22–24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Численные результаты пилота отсутствуют. Цели на 90 дней — предложения для согласования. Расчётные примеры не являются оценкой площадки, обещанием экономии или инвестиционным предложением.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02 / СМЕНА ПАРАДИГМЫ</w:t>
      </w:r>
    </w:p>
    <w:p>
      <w:pPr>
        <w:pStyle w:val="Heading1"/>
      </w:pPr>
      <w:r>
        <w:t>От накопления ресурсов — к полезному результату</w:t>
      </w:r>
    </w:p>
    <w:p>
      <w:r>
        <w:rPr>
          <w:b w:val="0"/>
        </w:rPr>
        <w:t>В предлагаемой модели ценность создаётся не самим количеством документов, вычислений или выработанных киловатт-часов. Значим результат: освоенная компетенция, работающая технология, сохранённая природная среда, надёжная услуга и способность повторить успешное решение.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Прежняя управленческая привычка</w:t>
            </w:r>
          </w:p>
        </w:tc>
        <w:tc>
          <w:tcPr>
            <w:tcW w:type="dxa" w:w="5499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Предлагаемый переход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Документ как завершение работы</w:t>
            </w:r>
          </w:p>
        </w:tc>
        <w:tc>
          <w:tcPr>
            <w:tcW w:type="dxa" w:w="549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Документ как проверяемое основание следующего действия.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Мощность как главный показатель развития</w:t>
            </w:r>
          </w:p>
        </w:tc>
        <w:tc>
          <w:tcPr>
            <w:tcW w:type="dxa" w:w="549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Надёжность и качество нужной услуги при обоснованных затратах.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Отдельные цифровые и энергетические проекты</w:t>
            </w:r>
          </w:p>
        </w:tc>
        <w:tc>
          <w:tcPr>
            <w:tcW w:type="dxa" w:w="549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Совместный расчёт данных, вычислений, энергии, воды, кадров и жизненного цикла.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Единый рейтинг победителей</w:t>
            </w:r>
          </w:p>
        </w:tc>
        <w:tc>
          <w:tcPr>
            <w:tcW w:type="dxa" w:w="549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Многомерный профиль результата, ограничений и качества доказательств.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Почему связь знаний и энергии практична</w:t>
      </w:r>
    </w:p>
    <w:p>
      <w:r>
        <w:rPr>
          <w:b w:val="0"/>
        </w:rPr>
        <w:t>В обзоре IEA от 16 апреля 2026 года мировое потребление электроэнергии центрами обработки данных оценивается в 485 ТВт·ч за 2025 год; центральная проекция на 2030 год — около 950 ТВт·ч. Это весь сектор центров обработки данных, а не только ИИ. Прогноз не является фактом будущего и не определяет нагрузку нашего пилота. [И1]</w:t>
      </w:r>
    </w:p>
    <w:p>
      <w:r>
        <w:rPr>
          <w:b w:val="0"/>
        </w:rPr>
        <w:t>Вывод для проекта: вычислительная инфраструктура должна следовать за подтверждёнными задачами. Объём сервиса, качество решения и физическое потребление нужно считать совместно; увеличение числа вычислений само по себе не доказывает общественную пользу.</w:t>
      </w:r>
    </w:p>
    <w:p>
      <w:pPr>
        <w:pStyle w:val="Heading2"/>
      </w:pPr>
      <w:r>
        <w:t>Два значения слова «энергия»</w:t>
      </w:r>
    </w:p>
    <w:p>
      <w:r>
        <w:rPr>
          <w:b w:val="0"/>
        </w:rPr>
        <w:t>В инженерном контуре энергия измеряется в физических единицах, а мощность описывает скорость её передачи или использования. В культурном языке «энергия созидания» может обозначать мотивацию и инициативу. Эти значения не смешиваются в балансах, договорах и научных доказательствах.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Формула проекта — управленческая, а не физическая: проверенное знание + обеспеченное действие + независимая проверка → полезный и воспроизводимый результат.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03 / АРХИТЕКТУРА</w:t>
      </w:r>
    </w:p>
    <w:p>
      <w:pPr>
        <w:pStyle w:val="Heading1"/>
      </w:pPr>
      <w:r>
        <w:t>Два контура и общая ответственность</w:t>
      </w:r>
    </w:p>
    <w:p>
      <w:r>
        <w:rPr>
          <w:b w:val="0"/>
        </w:rPr>
        <w:t>Контур знаний отвечает на вопросы «что известно, что можно проверить и как действовать». Энергетический контур отвечает на вопросы «какая услуга нужна, чем и когда она обеспечивается». Они сходятся в досье проекта и расходятся после исполнения в измерения, результаты и новые знания.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4365"/>
        <w:gridCol w:w="2778"/>
      </w:tblGrid>
      <w:tr>
        <w:trPr>
          <w:cantSplit/>
          <w:tblHeader/>
        </w:trPr>
        <w:tc>
          <w:tcPr>
            <w:tcW w:type="dxa" w:w="249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Элемент</w:t>
            </w:r>
          </w:p>
        </w:tc>
        <w:tc>
          <w:tcPr>
            <w:tcW w:type="dxa" w:w="436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Роль в модуле ZE-01</w:t>
            </w:r>
          </w:p>
        </w:tc>
        <w:tc>
          <w:tcPr>
            <w:tcW w:type="dxa" w:w="277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Выход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Архив сохранения наследия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Приём оригиналов, версии, права, сохранность и связи.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Доступное к восстановлению досье.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Академия и научные партнёры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Исследования, обучение, экспертиза применимости.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Протокол, программа, компетенция.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Вычислительный ГРИД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Расчёт разрешённых задач и вариантов.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Воспроизводимый сценарий.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Энергетический оператор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Учёт, снабжение и эксплуатационная надёжность.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Профиль нагрузки и журнал событий.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Учётная группа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Сверка единиц, границ, ресурсов и обязательств.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Согласованные балансы B01–B19.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ИАЦ / ОРИОН 22:22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Описание объектов, анализ последствий и профили.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Обоснование решения с ограничениями.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СФЕРА / ECO-PPA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Участники, инициативы и договорные обязательства.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Программа кооперации и договоры.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Оператор исполнения / СПЕЦЗАЩИТА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Организация согласованных работ и приёмки.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Принятый результат и отчёт.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Сквозная запись решения</w:t>
      </w:r>
    </w:p>
    <w:p>
      <w:r>
        <w:rPr>
          <w:b w:val="0"/>
        </w:rPr>
        <w:t>Потребность → объект знания → техническое требование → варианты → выбранное действие → ресурс и договор → приёмка → измерение → Архив. Каждое звено получает идентификатор, версию, источник и ответственного. Обновление исходных данных вызывает пересмотр связанных расчётов.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Названия платформ обозначают предлагаемые функции внутри проекта. Они не удостоверяют государственные полномочия, согласие организаций на участие или уже созданные юридические структуры.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04 / АРХИВ СОХРАНЕНИЯ НАСЛЕДИЯ</w:t>
      </w:r>
    </w:p>
    <w:p>
      <w:pPr>
        <w:pStyle w:val="Heading1"/>
      </w:pPr>
      <w:r>
        <w:t>Память, которая возвращает знания в работу</w:t>
      </w:r>
    </w:p>
    <w:p>
      <w:r>
        <w:rPr>
          <w:b w:val="0"/>
        </w:rPr>
        <w:t>Архив предлагается сделать активной инфраструктурой, а не складом итоговых файлов. Он соединяет исторические материалы, научные протоколы, инженерные решения, учебные программы и историю исполнения. Отдельно учитываются культурная значимость, научная проверенность и права использования.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cantSplit/>
          <w:tblHeader/>
        </w:trPr>
        <w:tc>
          <w:tcPr>
            <w:tcW w:type="dxa" w:w="226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Стадия</w:t>
            </w:r>
          </w:p>
        </w:tc>
        <w:tc>
          <w:tcPr>
            <w:tcW w:type="dxa" w:w="737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Обязательный результат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1. Приём</w:t>
            </w:r>
          </w:p>
        </w:tc>
        <w:tc>
          <w:tcPr>
            <w:tcW w:type="dxa" w:w="737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Оригинал, источник, автор или заявитель, дата и основание передачи.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2. Описание</w:t>
            </w:r>
          </w:p>
        </w:tc>
        <w:tc>
          <w:tcPr>
            <w:tcW w:type="dxa" w:w="737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Постоянный идентификатор, тип, тема, территория, версия и связи.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3. Проверка</w:t>
            </w:r>
          </w:p>
        </w:tc>
        <w:tc>
          <w:tcPr>
            <w:tcW w:type="dxa" w:w="737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Статус: первичный материал, гипотеза, оценка или подтверждённый результат; замечания эксперта.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4. Права и доступ</w:t>
            </w:r>
          </w:p>
        </w:tc>
        <w:tc>
          <w:tcPr>
            <w:tcW w:type="dxa" w:w="737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Правообладатель, разрешённые действия, ограничения и срок пересмотра доступа.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5. Сохранение</w:t>
            </w:r>
          </w:p>
        </w:tc>
        <w:tc>
          <w:tcPr>
            <w:tcW w:type="dxa" w:w="737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Контроль целостности, резервные копии, журнал изменений и испытание восстановления.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6. Повторное использование</w:t>
            </w:r>
          </w:p>
        </w:tc>
        <w:tc>
          <w:tcPr>
            <w:tcW w:type="dxa" w:w="737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Ссылка на учебную программу, расчёт или решение, в котором материал действительно использован.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Метаданные сохранения предлагается согласовать с PREMIS, где различаются объекты, события, права и агенты. Связи происхождения данных можно описывать средствами W3C PROV-O: сущность, действие и ответственный агент. Это методические ориентиры, а не заявленная сертификация системы. [И3; И4]</w:t>
      </w:r>
    </w:p>
    <w:p>
      <w:pPr>
        <w:pStyle w:val="Heading2"/>
      </w:pPr>
      <w:r>
        <w:t>Минимальный результат пилота</w:t>
      </w:r>
    </w:p>
    <w:p>
      <w:r>
        <w:rPr>
          <w:b w:val="0"/>
        </w:rPr>
        <w:t>Предлагаемый объём — 100 описанных архивных объектов; для каждого определены источник и режим доступа. Не менее 10 объектов связаны с конкретными программами или сценариями. Для материалов с неустановленными правами фиксируется ограничение доступа, а не выдуманное разрешение. Проводится хотя бы одно документированное восстановление согласованного набора.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Контрольная сумма подтверждает неизменность файла, но не истинность содержания. ИИ может помогать искать и описывать материалы, однако не устанавливает авторство или достоверность без проверки.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05 / АКАДЕМИЯ И ПРИКЛАДНАЯ НАУКА</w:t>
      </w:r>
    </w:p>
    <w:p>
      <w:pPr>
        <w:pStyle w:val="Heading1"/>
      </w:pPr>
      <w:r>
        <w:t>От наследия — к компетенции и технологии</w:t>
      </w:r>
    </w:p>
    <w:p>
      <w:r>
        <w:rPr>
          <w:b w:val="0"/>
        </w:rPr>
        <w:t>Знание становится ресурсом развития, когда его можно понять, проверить, применить и передать следующему участнику. Ориентир открытой науки UNESCO — доступность и повторное использование научного знания вместе с ответственным управлением открытостью. В проекте режим доступа устанавливается по материалу и задаче. [И2]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025"/>
        <w:gridCol w:w="3231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Программа</w:t>
            </w:r>
          </w:p>
        </w:tc>
        <w:tc>
          <w:tcPr>
            <w:tcW w:type="dxa" w:w="402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Практический продукт</w:t>
            </w:r>
          </w:p>
        </w:tc>
        <w:tc>
          <w:tcPr>
            <w:tcW w:type="dxa" w:w="323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Энергетическая грамотность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Две учебные программы: «Как устроен баланс энергии» и «Как подтверждается результат».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Входное задание и итоговая практическая работа по одной методике.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Биоценозы и инженерная среда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Полевые протоколы воды, микроклимата, нагрузки на маршруты и энергопотребления.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Сезон, точки измерения, качество данных и повторное наблюдение.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Материалы Нового Уклада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Задания на керамику и синтетические кристаллы: лейкосапфир, ИАГ, ГГГ, синтетический алмаз.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Выбор материала по требованиям узла и испытаниям, а не по престижности названия.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Датчики, управление и робототехника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Ограниченные безопасные задачи мониторинга и обслуживания.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Сравнение с базовым способом, ручной резерв и эксплуатационные ограничения.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Наследие и культура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Тематические подборки, научные биографии, история инженерных решений.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Происхождение, права и связь с образовательной программой.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Паспорт научного результата</w:t>
      </w:r>
    </w:p>
    <w:p>
      <w:r>
        <w:rPr>
          <w:b w:val="0"/>
        </w:rPr>
        <w:t>Вопрос; метод; исходные материалы; исполнители; среда испытания; фактические данные; неопределённость; вывод; предел применимости; права; версия. Отрицательный результат сохраняется наряду с успешным: он ограничивает неверные решения и предотвращает повторение ошибок.</w:t>
      </w:r>
    </w:p>
    <w:p>
      <w:pPr>
        <w:pStyle w:val="Heading2"/>
      </w:pPr>
      <w:r>
        <w:t>Партнёрство, а не неподтверждённый статус</w:t>
      </w:r>
    </w:p>
    <w:p>
      <w:r>
        <w:rPr>
          <w:b w:val="0"/>
        </w:rPr>
        <w:t>ИМАШ РАН, университеты и профильные институты рассматриваются как возможные научные партнёры по отдельным компетенциям. Их участие требует соглашений. Наименование «Академия» используется в проектной архитектуре и само по себе не подтверждает аккредитацию или право вести лицензируемую деятельность.</w:t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06 / ВЫЧИСЛИТЕЛЬНЫЙ ГРИД</w:t>
      </w:r>
    </w:p>
    <w:p>
      <w:pPr>
        <w:pStyle w:val="Heading1"/>
      </w:pPr>
      <w:r>
        <w:t>Метакомпьютер начинается с задачи</w:t>
      </w:r>
    </w:p>
    <w:p>
      <w:r>
        <w:rPr>
          <w:b w:val="0"/>
        </w:rPr>
        <w:t>ГРИД — предлагаемая кооперация вычислительных ресурсов и разрешённых данных. Он не равен электрической сети и не предполагает автоматического объединения всех компьютеров в одну машину. Выбор вычислительного средства определяется задачей, качеством результата, затратами и условиями доступа. [П1; П3]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195"/>
        <w:gridCol w:w="3061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Уровень</w:t>
            </w:r>
          </w:p>
        </w:tc>
        <w:tc>
          <w:tcPr>
            <w:tcW w:type="dxa" w:w="419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запускаем</w:t>
            </w:r>
          </w:p>
        </w:tc>
        <w:tc>
          <w:tcPr>
            <w:tcW w:type="dxa" w:w="306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Условие расширения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1. Реестр и расчёт</w:t>
            </w:r>
          </w:p>
        </w:tc>
        <w:tc>
          <w:tcPr>
            <w:tcW w:type="dxa" w:w="419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Каталог, архивное хранилище, паспорт показателя, простая модель и журнал решений.</w:t>
            </w:r>
          </w:p>
        </w:tc>
        <w:tc>
          <w:tcPr>
            <w:tcW w:type="dxa" w:w="306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Реальные пользователи и проверенные данные.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2. Партнёрские ресурсы</w:t>
            </w:r>
          </w:p>
        </w:tc>
        <w:tc>
          <w:tcPr>
            <w:tcW w:type="dxa" w:w="419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Изолированные расчётные задания на имеющихся площадках с согласованным доступом.</w:t>
            </w:r>
          </w:p>
        </w:tc>
        <w:tc>
          <w:tcPr>
            <w:tcW w:type="dxa" w:w="306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Измеренная потребность, договор и возможность повторить результат.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3. Специализированный узел</w:t>
            </w:r>
          </w:p>
        </w:tc>
        <w:tc>
          <w:tcPr>
            <w:tcW w:type="dxa" w:w="419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Дополнительные мощности только под подтверждённые задачи и требования.</w:t>
            </w:r>
          </w:p>
        </w:tc>
        <w:tc>
          <w:tcPr>
            <w:tcW w:type="dxa" w:w="306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Сравнение стоимости жизненного цикла, энергии, воды, кадров и альтернатив.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Карточка вычислительного задания</w:t>
      </w:r>
    </w:p>
    <w:p>
      <w:r>
        <w:rPr>
          <w:b w:val="0"/>
        </w:rPr>
        <w:t>Идентификатор проекта; цель; входные данные и их версии; разрешение на использование; метод и версия программы; допустимые сроки; требования к качеству; лимит ресурсов; журнал выполнения; результат и контрольный расчёт. Для внешнего сервиса отдельно отмечается, какая часть энергозатрат измерена, а какая оценена или неизвестна.</w:t>
      </w:r>
    </w:p>
    <w:p>
      <w:pPr>
        <w:pStyle w:val="Heading2"/>
      </w:pPr>
      <w:r>
        <w:t>Общий учёт, разные режимы управления</w:t>
      </w:r>
    </w:p>
    <w:p>
      <w:r>
        <w:rPr>
          <w:b w:val="0"/>
        </w:rPr>
        <w:t>ГРИД может предлагать расписание некритичных вычислений и оценивать влияние на нагрузку. Управление защитами и критическими инженерными системами остаётся в проверенном эксплуатационном контуре. На старте обмен данными односторонний: измерения поступают в аналитику, а изменение режимов утверждает ответственный специалист.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Собственный крупный центр обработки данных не является условием старта. Сначала доказываем полезность расчётов и потребность в ресурсах, затем решаем вопрос капитальных вложений.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07 / ЭНЕРГЕТИЧЕСКИЙ КОНТУР</w:t>
      </w:r>
    </w:p>
    <w:p>
      <w:pPr>
        <w:pStyle w:val="Heading1"/>
      </w:pPr>
      <w:r>
        <w:t>Проектируем услугу, а не список установок</w:t>
      </w:r>
    </w:p>
    <w:p>
      <w:r>
        <w:rPr>
          <w:b w:val="0"/>
        </w:rPr>
        <w:t>Начальная задача — обеспечить нужные услуги людям, научным программам и природоохранной деятельности. До выбора источника энергии требуется описать действующие и планируемые нагрузки, качество снабжения, ограничения площадки, техническое состояние и доступные договорные условия.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143"/>
      </w:tblGrid>
      <w:tr>
        <w:trPr>
          <w:cantSplit/>
          <w:tblHeader/>
        </w:trPr>
        <w:tc>
          <w:tcPr>
            <w:tcW w:type="dxa" w:w="249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Шаг</w:t>
            </w:r>
          </w:p>
        </w:tc>
        <w:tc>
          <w:tcPr>
            <w:tcW w:type="dxa" w:w="714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должно быть установлено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1. Потребность</w:t>
            </w:r>
          </w:p>
        </w:tc>
        <w:tc>
          <w:tcPr>
            <w:tcW w:type="dxa" w:w="714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Кто получает услугу; часы работы; сезонность; электричество, тепло и другие ресурсы по отдельным границам.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2. Критичность</w:t>
            </w:r>
          </w:p>
        </w:tc>
        <w:tc>
          <w:tcPr>
            <w:tcW w:type="dxa" w:w="714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Нагрузка, которую нельзя прерывать; допустимый перерыв; безопасная остановка; ручной и резервный режим.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3. Измерение</w:t>
            </w:r>
          </w:p>
        </w:tc>
        <w:tc>
          <w:tcPr>
            <w:tcW w:type="dxa" w:w="714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Точки учёта, интервалы, единицы, синхронизация времени, исправность приборов и журнал пропусков.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4. Снижение потерь</w:t>
            </w:r>
          </w:p>
        </w:tc>
        <w:tc>
          <w:tcPr>
            <w:tcW w:type="dxa" w:w="714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Сравнение режимов, графиков, обслуживания и оборудования при одинаковом качестве услуги.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5. Варианты снабжения</w:t>
            </w:r>
          </w:p>
        </w:tc>
        <w:tc>
          <w:tcPr>
            <w:tcW w:type="dxa" w:w="714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Существующая сеть, договорные изменения, локальная генерация и накопление — только в обоснованных сочетаниях.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6. Эксплуатация</w:t>
            </w:r>
          </w:p>
        </w:tc>
        <w:tc>
          <w:tcPr>
            <w:tcW w:type="dxa" w:w="714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Ответственный, обслуживание, запасные части, аварийная связь, испытания и стоимость полного цикла.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Технологическая нейтральность</w:t>
      </w:r>
    </w:p>
    <w:p>
      <w:r>
        <w:rPr>
          <w:b w:val="0"/>
        </w:rPr>
        <w:t>Солнечная, ветровая, тепловая и другие технологии не включаются автоматически. Для каждой проверяются ресурс, земля, сезонный профиль, подключение, воздействие на природную среду и доступность обслуживания. Накопитель рассматривается как средство переноса энергии и обеспечения режима, а не как самостоятельный источник первичной энергии.</w:t>
      </w:r>
    </w:p>
    <w:p>
      <w:pPr>
        <w:pStyle w:val="Heading2"/>
      </w:pPr>
      <w:r>
        <w:t>Что фиксируем до инвестиций</w:t>
      </w:r>
    </w:p>
    <w:p>
      <w:r>
        <w:rPr>
          <w:b w:val="0"/>
        </w:rPr>
        <w:t>Схему действующего снабжения; показания и документы за доступный период; установленную и фактическую мощность; критические нагрузки; ограничения площадки; условия поставщиков; расходы на обслуживание. При недостатке данных сначала проводится обследование, а не назначается требуемая мощность «города будущего».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Предлагаемый старт: один разрешённый инженерный узел и не менее 30 последовательных дней наблюдений. Этого достаточно для прототипа учёта, но недостаточно, чтобы без сезонных данных обещать годовой эффект.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08 / ФИЗИЧЕСКИЙ УЧЁТ</w:t>
      </w:r>
    </w:p>
    <w:p>
      <w:pPr>
        <w:pStyle w:val="Heading1"/>
      </w:pPr>
      <w:r>
        <w:t>Энергия не должна появляться дважды</w:t>
      </w:r>
    </w:p>
    <w:p>
      <w:r>
        <w:rPr>
          <w:b w:val="0"/>
        </w:rPr>
        <w:t>Баланс ведётся для одной границы, одного периода и согласованных единиц. Электроэнергию, тепло и топливо показывают отдельными потоками; перевод единиц или сопоставление полезного эффекта сопровождают методикой. Финансовая стоимость энергии относится к B01, физический поток — к B03.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Баланс электроэнергии за интервал:</w:t>
              <w:br/>
              <w:t>импорт + местная генерация + разряд накопителя =</w:t>
              <w:br/>
              <w:t>нагрузка + заряд накопителя + экспорт + потери сети.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rPr>
          <w:b w:val="0"/>
        </w:rPr>
        <w:t>Изменение запаса накопителя учитывается отдельно с КПД заряда и разряда. Если начальный и конечный запас различаются, это не экономия и не новая генерация. Поступления и отбор энергии сравниваются на явно указанных сторонах преобразователей.</w:t>
      </w:r>
    </w:p>
    <w:p>
      <w:pPr>
        <w:pStyle w:val="Heading2"/>
      </w:pPr>
      <w:r>
        <w:t>Условный пример за одни сутки, кВт·ч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964"/>
        <w:gridCol w:w="3855"/>
        <w:gridCol w:w="964"/>
      </w:tblGrid>
      <w:tr>
        <w:trPr>
          <w:cantSplit/>
          <w:tblHeader/>
        </w:trPr>
        <w:tc>
          <w:tcPr>
            <w:tcW w:type="dxa" w:w="385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Поступление на общую шину</w:t>
            </w:r>
          </w:p>
        </w:tc>
        <w:tc>
          <w:tcPr>
            <w:tcW w:type="dxa" w:w="96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кВт·ч</w:t>
            </w:r>
          </w:p>
        </w:tc>
        <w:tc>
          <w:tcPr>
            <w:tcW w:type="dxa" w:w="385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Расход с общей шины</w:t>
            </w:r>
          </w:p>
        </w:tc>
        <w:tc>
          <w:tcPr>
            <w:tcW w:type="dxa" w:w="96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кВт·ч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Импорт из сети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630</w:t>
            </w:r>
          </w:p>
        </w:tc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Полезная нагрузка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1 000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Местная генерация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450</w:t>
            </w:r>
          </w:p>
        </w:tc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Заряд накопителя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Разряд накопителя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160</w:t>
            </w:r>
          </w:p>
        </w:tc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Экспорт в сеть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—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—</w:t>
            </w:r>
          </w:p>
        </w:tc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Потери распределительной сети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Итого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1 240</w:t>
            </w:r>
          </w:p>
        </w:tc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Итого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1 240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В этом примере запас накопителя в начале и конце суток одинаков. Разница между зарядом 200 и разрядом 160 кВт·ч — 40 кВт·ч потерь цикла. Внешний ввод и генерация: 630 + 450 = 1 080 кВт·ч. Их распределение: 1 000 полезной нагрузки + 20 экспорта + 20 сетевых потерь + 40 потерь накопления = 1 080 кВт·ч.</w:t>
      </w:r>
    </w:p>
    <w:p>
      <w:pPr>
        <w:pStyle w:val="Heading2"/>
      </w:pPr>
      <w:r>
        <w:t>Проверки качества</w:t>
      </w:r>
    </w:p>
    <w:p>
      <w:r>
        <w:rPr>
          <w:b w:val="0"/>
        </w:rPr>
        <w:t>Несовпадение суммы потоков, неполный интервал, разные часовые пояса и отрицательный остаток без объяснения создают запись расхождения. Учётная группа устанавливает допустимость данных; аналитика не скрывает ошибку округлением или усреднением.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FF5E7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Все числа на этой странице придуманы для демонстрации арифметики. Они не описывают Сафари-парк, существующее оборудование или согласованную схему электроснабжения.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09 / ECO-PPA И ЭКОНОМИКА</w:t>
      </w:r>
    </w:p>
    <w:p>
      <w:pPr>
        <w:pStyle w:val="Heading1"/>
      </w:pPr>
      <w:r>
        <w:t>Связываем договоры, а не смешиваем права</w:t>
      </w:r>
    </w:p>
    <w:p>
      <w:r>
        <w:rPr>
          <w:b w:val="0"/>
        </w:rPr>
        <w:t>Энергетический PPA — договорный инструмент организации покупки энергии; в материалах Всемирного банка отдельно рассматриваются структура выручки и распределение рисков. В нашем проекте ECO-PPA шире: рамка координации энергии, ресурсов и проверяемого результата. Эти понятия не тождественны. [И6; П1]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6860"/>
      </w:tblGrid>
      <w:tr>
        <w:trPr>
          <w:cantSplit/>
          <w:tblHeader/>
        </w:trPr>
        <w:tc>
          <w:tcPr>
            <w:tcW w:type="dxa" w:w="277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Договорный блок</w:t>
            </w:r>
          </w:p>
        </w:tc>
        <w:tc>
          <w:tcPr>
            <w:tcW w:type="dxa" w:w="686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закрепляется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Энергоснабжение</w:t>
            </w:r>
          </w:p>
        </w:tc>
        <w:tc>
          <w:tcPr>
            <w:tcW w:type="dxa" w:w="686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Стороны, объём, профиль, качество, точки учёта, цена, расчёты и ответственность.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Энергосервис</w:t>
            </w:r>
          </w:p>
        </w:tc>
        <w:tc>
          <w:tcPr>
            <w:tcW w:type="dxa" w:w="686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База сравнения, изменение режима или оборудования, измерение эффекта и правила оплаты результата.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Знания и вычисления</w:t>
            </w:r>
          </w:p>
        </w:tc>
        <w:tc>
          <w:tcPr>
            <w:tcW w:type="dxa" w:w="686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Состав услуг, входные материалы, лицензии, ограничения данных, качество и приёмка.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Наука и образование</w:t>
            </w:r>
          </w:p>
        </w:tc>
        <w:tc>
          <w:tcPr>
            <w:tcW w:type="dxa" w:w="686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Программа, аудитория, протокол, права на результат и подтверждение его достижения.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 и непрерывность</w:t>
            </w:r>
          </w:p>
        </w:tc>
        <w:tc>
          <w:tcPr>
            <w:tcW w:type="dxa" w:w="686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Сохранность, сроки хранения, переносимость, доступ и проверка восстановления.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Экология и общественная польза</w:t>
            </w:r>
          </w:p>
        </w:tc>
        <w:tc>
          <w:tcPr>
            <w:tcW w:type="dxa" w:w="686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Измеряемое обязательство, граница, метод, проверяющий и отдельное основание оплаты, если оно предусмотрено.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Правила финансового учёта</w:t>
      </w:r>
    </w:p>
    <w:p>
      <w:r>
        <w:rPr>
          <w:b w:val="0"/>
        </w:rPr>
        <w:t>Раздельно показываются капитальные вложения, операционные расходы, оборотные средства и резерв. Экономия не равна денежному поступлению, а сокращение кВт·ч не гарантирует такую же долю снижения счета: влияют структура тарифа, мощность, фиксированные платежи и условия договора. Денежная модель заполняется по обследованию и предложениям контрагентов.</w:t>
      </w:r>
    </w:p>
    <w:p>
      <w:pPr>
        <w:pStyle w:val="Heading2"/>
      </w:pPr>
      <w:r>
        <w:t>Фонды знаний и энергетической устойчивости</w:t>
      </w:r>
    </w:p>
    <w:p>
      <w:r>
        <w:rPr>
          <w:b w:val="0"/>
        </w:rPr>
        <w:t>На старте это могут быть два целевых бюджета одного оператора: первый финансирует архив, обучение и исследования, второй — обследование, учёт, надёжность и обслуживание. Перевод средств между ними отражается явно. Обещанное финансирование не показывается как полученные деньги; будущая выгода не признаётся готовым обеспечением.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Этот раздел — проект договорной архитектуры, не юридическое заключение. Сделки, тарифы и разрешительные требования проверяются применительно к участникам, площадке и юрисдикции перед подписанием.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10 / СКВОЗНОЙ КЛАССИФИКАТОР</w:t>
      </w:r>
    </w:p>
    <w:p>
      <w:pPr>
        <w:pStyle w:val="Heading1"/>
      </w:pPr>
      <w:r>
        <w:t>19 связанных балансов — без переименования</w:t>
      </w:r>
    </w:p>
    <w:p>
      <w:r>
        <w:rPr>
          <w:b w:val="0"/>
        </w:rPr>
        <w:t>Сохраняются коды и названия B01–B19 из исходной концепции. Новые энергопоказатели и архивные объекты связываются с ними, а не образуют конкурирующий набор «19 направлений». [П1]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"/>
        <w:gridCol w:w="3203"/>
        <w:gridCol w:w="5613"/>
      </w:tblGrid>
      <w:tr>
        <w:trPr>
          <w:cantSplit/>
          <w:tblHeader/>
        </w:trPr>
        <w:tc>
          <w:tcPr>
            <w:tcW w:type="dxa" w:w="822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20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Баланс</w:t>
            </w:r>
          </w:p>
        </w:tc>
        <w:tc>
          <w:tcPr>
            <w:tcW w:type="dxa" w:w="561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Применение в модуле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B01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Финансы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Средства, расходы, обязательства и резерв.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B02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Материалы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Расходные материалы, кабель, комплектующие, возврат.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B03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Энергия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Электричество, тепло, мощность и пики.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B04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Производственные мощности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Доступность научных и сервисных процессов.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B05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Оборудование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Состояние, обслуживание, ресурс и резерв.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B06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Кадры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Компетенции, время, подготовка и нагрузка.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B07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Наука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Протоколы, данные и принятые результаты.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B08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Технологии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Методы, испытания и условия применения.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B09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Инфраструктура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Здания, сети, связь и готовность узлов.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B10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Транспорт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Перемещение участников и хозяйственные рейсы.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B11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Логистика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Поставки, запасы, сроки и выполнение заказов.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B12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Земля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Права, режимы, площадки и ограничения.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B13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Вода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Потребление, возврат, качество и охлаждение.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B14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Экология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Биоценозы, воздействия и восстановление.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B15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Углерод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Выбросы и поглощение в заданной границе.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B16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Данные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Происхождение, качество, доступ и сохранность.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B17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Социальный эффект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Доступность услуг, навыки и польза сообществу.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B18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Безопасность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Опасности, инциденты и готовность.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B19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Стратегическое развитие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Цели, зависимости, этапы и обязательства.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Пример связи: новая учебная программа требует кадров B06, знаний B07, данных B16, энергии B03 и средств B01; освоенный навык отражается в B17. Один эффект не суммируется повторно по всем связанным балансам.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11 / ОРИОН 22:22</w:t>
      </w:r>
    </w:p>
    <w:p>
      <w:pPr>
        <w:pStyle w:val="Heading1"/>
      </w:pPr>
      <w:r>
        <w:t>Девять реестров одного решения</w:t>
      </w:r>
    </w:p>
    <w:p>
      <w:r>
        <w:rPr>
          <w:b w:val="0"/>
        </w:rPr>
        <w:t>ОРИОН связывает пять уровней: смысл, знание, решение, действие и память. Внутри них используются девять ранее определённых реестров «Мыслящего потока». Для модуля «Знания и Энергия» сохраняются их коды и смысл. [П1; П3]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2438"/>
        <w:gridCol w:w="6406"/>
      </w:tblGrid>
      <w:tr>
        <w:trPr>
          <w:cantSplit/>
          <w:tblHeader/>
        </w:trPr>
        <w:tc>
          <w:tcPr>
            <w:tcW w:type="dxa" w:w="79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243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Реестр</w:t>
            </w:r>
          </w:p>
        </w:tc>
        <w:tc>
          <w:tcPr>
            <w:tcW w:type="dxa" w:w="6406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Запись пилота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R01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Наблюдения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Показания узла, первичный документ или запрос пользователя.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R02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Смыслы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Зачем это важно и чью потребность затрагивает.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R03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Классификация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Тип объекта, коды балансов, оси ОРИОН и версия словаря.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R04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Сценарии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База, альтернативы, ограничения и предпосылки.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R05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Решения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Выбор, основание, полномочие, бюджет и условия пересмотра.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R06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Действия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Исполнитель, срок, договор и журнал исполнения.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R07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Результаты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Принятый продукт, измеренное изменение и побочные эффекты.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R08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Доказательства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Протокол, измерение, расчёт и заключение проверяющего.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R09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Связи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Отношения между записями, версиями, правами и балансами.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Числа обозначают разные справочники</w:t>
      </w:r>
    </w:p>
    <w:p>
      <w:r>
        <w:rPr>
          <w:b w:val="0"/>
        </w:rPr>
        <w:t>22 оси ОРИОН описывают объекты и контекст. 19 балансов учитывают ресурсы и последствия. 19 стандартов Человека описывают условия развития. 260 показателей — целевой объём более широкой системы, а не обязательная комплектация первого запуска. Для ZE-01 предлагается отдельная версия стартового набора из 12 показателей.</w:t>
      </w:r>
    </w:p>
    <w:p>
      <w:pPr>
        <w:pStyle w:val="Heading2"/>
      </w:pPr>
      <w:r>
        <w:t>Пример изменения режима</w:t>
      </w:r>
    </w:p>
    <w:p>
      <w:r>
        <w:rPr>
          <w:b w:val="0"/>
        </w:rPr>
        <w:t>Наблюдение фиксирует пик нагрузки. Сценарии сопоставляют перенос некритичной задачи и базовый режим. После решения оператор меняет только согласованное расписание. Результат проверяют по сопоставимой услуге, интервальным данным и ограничениям. Архив сохраняет исходные данные, расчёт, решение и приёмку.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Символическая система 20 × 13 = 260 Кинов остаётся культурным контуром. Она не служит основанием для физических расчётов, научного ранжирования или ограничения прав человека.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12 / МНОГОМЕРНЫЕ РЕЙТИНГИ</w:t>
      </w:r>
    </w:p>
    <w:p>
      <w:pPr>
        <w:pStyle w:val="Heading1"/>
      </w:pPr>
      <w:r>
        <w:t>Профиль развития вместо единственного места</w:t>
      </w:r>
    </w:p>
    <w:p>
      <w:r>
        <w:rPr>
          <w:b w:val="0"/>
        </w:rPr>
        <w:t>Модуль использует десять измерений ранее предложенного профиля: человеческий потенциал; качество жизни; природа и биоценозы; образование и наука; технологии и инновации; культура и наследие; социальная устойчивость; экономика; сотрудничество; долгосрочная устойчивость. Энергетические показатели распределяются по этим измерениям, не заменяя их. [П3]</w:t>
      </w:r>
    </w:p>
    <w:p>
      <w:pPr>
        <w:pStyle w:val="Heading2"/>
      </w:pPr>
      <w:r>
        <w:t>Предлагаемые правила расчёта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  <w:tblHeader/>
        </w:trPr>
        <w:tc>
          <w:tcPr>
            <w:tcW w:type="dxa" w:w="283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Правило</w:t>
            </w:r>
          </w:p>
        </w:tc>
        <w:tc>
          <w:tcPr>
            <w:tcW w:type="dxa" w:w="680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Применение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Сопоставимая группа</w:t>
            </w:r>
          </w:p>
        </w:tc>
        <w:tc>
          <w:tcPr>
            <w:tcW w:type="dxa" w:w="68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 тип объектов, сходная стадия и явно описанные различия условий.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Единая база</w:t>
            </w:r>
          </w:p>
        </w:tc>
        <w:tc>
          <w:tcPr>
            <w:tcW w:type="dxa" w:w="68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Одинаковые границы, период, определения, единицы и качество услуги.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Прозрачная шкала</w:t>
            </w:r>
          </w:p>
        </w:tc>
        <w:tc>
          <w:tcPr>
            <w:tcW w:type="dxa" w:w="68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Пороги и направление «лучше» утверждаются до расчёта; физическое значение сохраняется.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Пропуски и неопределённость</w:t>
            </w:r>
          </w:p>
        </w:tc>
        <w:tc>
          <w:tcPr>
            <w:tcW w:type="dxa" w:w="68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«Нет данных» не заменяется нулём, скрытой средней или положительным баллом.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Проверка устойчивости</w:t>
            </w:r>
          </w:p>
        </w:tc>
        <w:tc>
          <w:tcPr>
            <w:tcW w:type="dxa" w:w="68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Изменяем допустимые веса и допущения; неустойчивый вывод не публикуем как точный рейтинг.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Некомпенсируемые ограничения</w:t>
            </w:r>
          </w:p>
        </w:tc>
        <w:tc>
          <w:tcPr>
            <w:tcW w:type="dxa" w:w="68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Безопасность, права и критические природные ограничения не перекрываются успехом в другой области.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Методический ориентир — руководство OECD/EC-JRC по построению составных показателей. Приведённые здесь правила являются проектной методикой ZE-01 и требуют согласования перед реальной публикацией. [И7]</w:t>
      </w:r>
    </w:p>
    <w:p>
      <w:pPr>
        <w:pStyle w:val="Heading2"/>
      </w:pPr>
      <w:r>
        <w:t>Нормализация — только после задания порогов</w:t>
      </w:r>
    </w:p>
    <w:p>
      <w:r>
        <w:rPr>
          <w:b w:val="0"/>
        </w:rPr>
        <w:t>Для показателя, где больше означает лучше: s = 100 × min(1; max(0; (x − L)/(U − L))), при U &gt; L. Для обратного направления: s = 100 × min(1; max(0; (U − x)/(U − L))). L и U — заранее утверждённые пороги; обе формулы — предлагаемый способ представления, не обязательный стандарт.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В первой версии публикуются отдельные значения, динамика, источник и полнота данных. Суммарный балл не обязателен. Рейтинг человеческой ценности, социальный скоринг людей и автоматическое ограничение базовых прав не создаются.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13 / ПАСПОРТА СТАРТОВЫХ ПОКАЗАТЕЛЕЙ</w:t>
      </w:r>
    </w:p>
    <w:p>
      <w:pPr>
        <w:pStyle w:val="Heading1"/>
      </w:pPr>
      <w:r>
        <w:t>Знания и надёжность: 01–06</w:t>
      </w:r>
    </w:p>
    <w:p>
      <w:r>
        <w:rPr>
          <w:b w:val="0"/>
        </w:rPr>
        <w:t>Стартовый набор ZE-01, версия 1.0. Это новая прикладная спецификация, совместимая с ОРИОН; она не выдаётся за уже утверждённый полный реестр 260 показателей. Базовые значения по площадке пока не установлены.</w:t>
      </w:r>
    </w:p>
    <w:p>
      <w:pPr>
        <w:pStyle w:val="Heading2"/>
      </w:pPr>
      <w:r>
        <w:t>ZE-K01  /  Полнота архивного описания</w:t>
      </w:r>
    </w:p>
    <w:p>
      <w:pPr>
        <w:spacing w:after="60"/>
      </w:pPr>
      <w:r>
        <w:rPr>
          <w:b w:val="0"/>
          <w:sz w:val="20"/>
        </w:rPr>
        <w:t>100 × объекты с обязательными полями / объекты принятого каталога, %. Реестр Архива; перечень обязательных полей фиксируется до проверки.</w:t>
      </w:r>
    </w:p>
    <w:p>
      <w:pPr>
        <w:pStyle w:val="Caption"/>
        <w:spacing w:after="100"/>
      </w:pPr>
      <w:r>
        <w:rPr>
          <w:b w:val="0"/>
        </w:rPr>
        <w:t>Культура и наследие; B16</w:t>
      </w:r>
    </w:p>
    <w:p>
      <w:pPr>
        <w:pStyle w:val="Heading2"/>
      </w:pPr>
      <w:r>
        <w:t>ZE-K02  /  Повторное применение знания</w:t>
      </w:r>
    </w:p>
    <w:p>
      <w:pPr>
        <w:spacing w:after="60"/>
      </w:pPr>
      <w:r>
        <w:rPr>
          <w:b w:val="0"/>
          <w:sz w:val="20"/>
        </w:rPr>
        <w:t>Число уникальных архивных объектов, использованных в принятых программах или решениях. Ссылки на объект и акт применения; просмотры не считаются использованием.</w:t>
      </w:r>
    </w:p>
    <w:p>
      <w:pPr>
        <w:pStyle w:val="Caption"/>
        <w:spacing w:after="100"/>
      </w:pPr>
      <w:r>
        <w:rPr>
          <w:b w:val="0"/>
        </w:rPr>
        <w:t>Образование и наука; B07, B16</w:t>
      </w:r>
    </w:p>
    <w:p>
      <w:pPr>
        <w:pStyle w:val="Heading2"/>
      </w:pPr>
      <w:r>
        <w:t>ZE-K03  /  Проверенные исследовательские результаты</w:t>
      </w:r>
    </w:p>
    <w:p>
      <w:pPr>
        <w:spacing w:after="60"/>
      </w:pPr>
      <w:r>
        <w:rPr>
          <w:b w:val="0"/>
          <w:sz w:val="20"/>
        </w:rPr>
        <w:t>100 × результаты с принятой проверкой / результаты, предъявленные к проверке, %. Протокол и независимый разбор; отрицательные результаты не исключаются автоматически.</w:t>
      </w:r>
    </w:p>
    <w:p>
      <w:pPr>
        <w:pStyle w:val="Caption"/>
        <w:spacing w:after="100"/>
      </w:pPr>
      <w:r>
        <w:rPr>
          <w:b w:val="0"/>
        </w:rPr>
        <w:t>Образование и наука; B07</w:t>
      </w:r>
    </w:p>
    <w:p>
      <w:pPr>
        <w:pStyle w:val="Heading2"/>
      </w:pPr>
      <w:r>
        <w:t>ZE-K04  /  Освоение практического навыка</w:t>
      </w:r>
    </w:p>
    <w:p>
      <w:pPr>
        <w:spacing w:after="60"/>
      </w:pPr>
      <w:r>
        <w:rPr>
          <w:b w:val="0"/>
          <w:sz w:val="20"/>
        </w:rPr>
        <w:t>100 × участники, выполнившие итоговое задание / участники, приступившие к программе, %. Одна рубрика оценки; отдельно показываются завершение и причины выбывания.</w:t>
      </w:r>
    </w:p>
    <w:p>
      <w:pPr>
        <w:pStyle w:val="Caption"/>
        <w:spacing w:after="100"/>
      </w:pPr>
      <w:r>
        <w:rPr>
          <w:b w:val="0"/>
        </w:rPr>
        <w:t>Человеческий потенциал; B06, B17</w:t>
      </w:r>
    </w:p>
    <w:p>
      <w:pPr>
        <w:pStyle w:val="Heading2"/>
      </w:pPr>
      <w:r>
        <w:t>ZE-E01  /  Непокрытая критическая нагрузка</w:t>
      </w:r>
    </w:p>
    <w:p>
      <w:pPr>
        <w:spacing w:after="60"/>
      </w:pPr>
      <w:r>
        <w:rPr>
          <w:b w:val="0"/>
          <w:sz w:val="20"/>
        </w:rPr>
        <w:t>Минуты непредусмотренного перерыва согласованной критической услуги. Журнал событий и эксплуатационные данные; критерий критичности утверждён.</w:t>
      </w:r>
    </w:p>
    <w:p>
      <w:pPr>
        <w:pStyle w:val="Caption"/>
        <w:spacing w:after="100"/>
      </w:pPr>
      <w:r>
        <w:rPr>
          <w:b w:val="0"/>
        </w:rPr>
        <w:t>Качество жизни; B03, B18</w:t>
      </w:r>
    </w:p>
    <w:p>
      <w:pPr>
        <w:pStyle w:val="Heading2"/>
      </w:pPr>
      <w:r>
        <w:t>ZE-E02  /  Удельная энергия услуги</w:t>
      </w:r>
    </w:p>
    <w:p>
      <w:pPr>
        <w:spacing w:after="60"/>
      </w:pPr>
      <w:r>
        <w:rPr>
          <w:b w:val="0"/>
          <w:sz w:val="20"/>
        </w:rPr>
        <w:t>Энергия в границе / сопоставимые единицы услуги, кВт·ч/ед. Счётчик и учёт услуги; публикуются также общий расход и объём услуги.</w:t>
      </w:r>
    </w:p>
    <w:p>
      <w:pPr>
        <w:pStyle w:val="Caption"/>
        <w:spacing w:after="100"/>
      </w:pPr>
      <w:r>
        <w:rPr>
          <w:b w:val="0"/>
        </w:rPr>
        <w:t>Экономика; B03, B17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Для каждого показателя дополнительно фиксируются владелец, объект, период, граница, версия, источник, исходное значение, цель и статус проверки. Если знаменатель равен нулю, показатель отмечается «не применимо», а не рассчитывается условно.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13 / ПАСПОРТА СТАРТОВЫХ ПОКАЗАТЕЛЕЙ</w:t>
      </w:r>
    </w:p>
    <w:p>
      <w:pPr>
        <w:pStyle w:val="Heading1"/>
      </w:pPr>
      <w:r>
        <w:t>Эффективность и устойчивость: 07–12</w:t>
      </w:r>
    </w:p>
    <w:p>
      <w:r>
        <w:rPr>
          <w:b w:val="0"/>
        </w:rPr>
        <w:t>Стартовый набор ZE-01, версия 1.0. Это новая прикладная спецификация, совместимая с ОРИОН; она не выдаётся за уже утверждённый полный реестр 260 показателей. Базовые значения по площадке пока не установлены.</w:t>
      </w:r>
    </w:p>
    <w:p>
      <w:pPr>
        <w:pStyle w:val="Heading2"/>
      </w:pPr>
      <w:r>
        <w:t>ZE-E03  /  Максимум потребляемой мощности</w:t>
      </w:r>
    </w:p>
    <w:p>
      <w:pPr>
        <w:spacing w:after="60"/>
      </w:pPr>
      <w:r>
        <w:rPr>
          <w:b w:val="0"/>
          <w:sz w:val="20"/>
        </w:rPr>
        <w:t>Максимальная средняя мощность за утверждённый интервал, кВт. Интервальный профиль; длина интервала одинакова при сравнении.</w:t>
      </w:r>
    </w:p>
    <w:p>
      <w:pPr>
        <w:pStyle w:val="Caption"/>
        <w:spacing w:after="100"/>
      </w:pPr>
      <w:r>
        <w:rPr>
          <w:b w:val="0"/>
        </w:rPr>
        <w:t>Технологии и инновации; B03, B09</w:t>
      </w:r>
    </w:p>
    <w:p>
      <w:pPr>
        <w:pStyle w:val="Heading2"/>
      </w:pPr>
      <w:r>
        <w:t>ZE-E04  /  Подтверждённое снижение расхода</w:t>
      </w:r>
    </w:p>
    <w:p>
      <w:pPr>
        <w:spacing w:after="60"/>
      </w:pPr>
      <w:r>
        <w:rPr>
          <w:b w:val="0"/>
          <w:sz w:val="20"/>
        </w:rPr>
        <w:t>Скорректированная база − фактический расход, МВт·ч за период. План измерения и проверки; отдельно неопределённость и причины изменения.</w:t>
      </w:r>
    </w:p>
    <w:p>
      <w:pPr>
        <w:pStyle w:val="Caption"/>
        <w:spacing w:after="100"/>
      </w:pPr>
      <w:r>
        <w:rPr>
          <w:b w:val="0"/>
        </w:rPr>
        <w:t>Долгосрочная устойчивость; B03</w:t>
      </w:r>
    </w:p>
    <w:p>
      <w:pPr>
        <w:pStyle w:val="Heading2"/>
      </w:pPr>
      <w:r>
        <w:t>ZE-S01  /  Покрытие обязательных расходов</w:t>
      </w:r>
    </w:p>
    <w:p>
      <w:pPr>
        <w:spacing w:after="60"/>
      </w:pPr>
      <w:r>
        <w:rPr>
          <w:b w:val="0"/>
          <w:sz w:val="20"/>
        </w:rPr>
        <w:t>Доступные неограниченные деньги / средние обязательные месячные выплаты, месяцев. Учёт оператора; целевые средства исключаются, если не подходят по назначению.</w:t>
      </w:r>
    </w:p>
    <w:p>
      <w:pPr>
        <w:pStyle w:val="Caption"/>
        <w:spacing w:after="100"/>
      </w:pPr>
      <w:r>
        <w:rPr>
          <w:b w:val="0"/>
        </w:rPr>
        <w:t>Социальная устойчивость; B01</w:t>
      </w:r>
    </w:p>
    <w:p>
      <w:pPr>
        <w:pStyle w:val="Heading2"/>
      </w:pPr>
      <w:r>
        <w:t>ZE-N01  /  Удельное потребление воды</w:t>
      </w:r>
    </w:p>
    <w:p>
      <w:pPr>
        <w:spacing w:after="60"/>
      </w:pPr>
      <w:r>
        <w:rPr>
          <w:b w:val="0"/>
          <w:sz w:val="20"/>
        </w:rPr>
        <w:t>Вода в границе / сопоставимые единицы услуги, м³/ед. Приборный учёт и назначение воды; качество среды отслеживается отдельно.</w:t>
      </w:r>
    </w:p>
    <w:p>
      <w:pPr>
        <w:pStyle w:val="Caption"/>
        <w:spacing w:after="100"/>
      </w:pPr>
      <w:r>
        <w:rPr>
          <w:b w:val="0"/>
        </w:rPr>
        <w:t>Природа и биоценозы; B13, B14</w:t>
      </w:r>
    </w:p>
    <w:p>
      <w:pPr>
        <w:pStyle w:val="Heading2"/>
      </w:pPr>
      <w:r>
        <w:t>ZE-D01  /  Полнота интервальных данных</w:t>
      </w:r>
    </w:p>
    <w:p>
      <w:pPr>
        <w:spacing w:after="60"/>
      </w:pPr>
      <w:r>
        <w:rPr>
          <w:b w:val="0"/>
          <w:sz w:val="20"/>
        </w:rPr>
        <w:t>100 × валидные интервалы / ожидаемые интервалы, %. Журнал поступлений; правило валидности, пропуски и исправления сохраняются.</w:t>
      </w:r>
    </w:p>
    <w:p>
      <w:pPr>
        <w:pStyle w:val="Caption"/>
        <w:spacing w:after="100"/>
      </w:pPr>
      <w:r>
        <w:rPr>
          <w:b w:val="0"/>
        </w:rPr>
        <w:t>Технологии и инновации; B16</w:t>
      </w:r>
    </w:p>
    <w:p>
      <w:pPr>
        <w:pStyle w:val="Heading2"/>
      </w:pPr>
      <w:r>
        <w:t>ZE-C01  /  Завершённые совместные задачи</w:t>
      </w:r>
    </w:p>
    <w:p>
      <w:pPr>
        <w:spacing w:after="60"/>
      </w:pPr>
      <w:r>
        <w:rPr>
          <w:b w:val="0"/>
          <w:sz w:val="20"/>
        </w:rPr>
        <w:t>Число принятых задач с двумя и более участниками и документированным вкладом. Реестр соглашений и приёмки; один результат учитывается один раз.</w:t>
      </w:r>
    </w:p>
    <w:p>
      <w:pPr>
        <w:pStyle w:val="Caption"/>
        <w:spacing w:after="100"/>
      </w:pPr>
      <w:r>
        <w:rPr>
          <w:b w:val="0"/>
        </w:rPr>
        <w:t>Сотрудничество; B07, B19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Для каждого показателя дополнительно фиксируются владелец, объект, период, граница, версия, источник, исходное значение, цель и статус проверки. Если знаменатель равен нулю, показатель отмечается «не применимо», а не рассчитывается условно.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14 / РАСЧЁТ И ЭКОНОМИКА</w:t>
      </w:r>
    </w:p>
    <w:p>
      <w:pPr>
        <w:pStyle w:val="Heading1"/>
      </w:pPr>
      <w:r>
        <w:t>Эффект подтверждаем относительно сопоставимой базы</w:t>
      </w:r>
    </w:p>
    <w:p>
      <w:r>
        <w:rPr>
          <w:b w:val="0"/>
        </w:rPr>
        <w:t>Измерение и проверка экономии отделяют исходное состояние, отчётный период, изменение условий и эффект мероприятия. Внешний методический ориентир — FEMP M&amp;V Guidelines 5.0; конкретный план измерений разрабатывается для узла пилота. [И5]</w:t>
      </w:r>
    </w:p>
    <w:p>
      <w:pPr>
        <w:pStyle w:val="Heading2"/>
      </w:pPr>
      <w:r>
        <w:t>Условный пример за один сопоставимый месяц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1814"/>
        <w:gridCol w:w="3005"/>
      </w:tblGrid>
      <w:tr>
        <w:trPr>
          <w:cantSplit/>
          <w:tblHeader/>
        </w:trPr>
        <w:tc>
          <w:tcPr>
            <w:tcW w:type="dxa" w:w="4819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Величина</w:t>
            </w:r>
          </w:p>
        </w:tc>
        <w:tc>
          <w:tcPr>
            <w:tcW w:type="dxa" w:w="181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Значение</w:t>
            </w:r>
          </w:p>
        </w:tc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Статус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Измеренная энергия в базовом месяце</w:t>
            </w:r>
          </w:p>
        </w:tc>
        <w:tc>
          <w:tcPr>
            <w:tcW w:type="dxa" w:w="181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120 МВт·ч</w:t>
            </w:r>
          </w:p>
        </w:tc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Условное исходное наблюдение.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Поправка на согласованные условия</w:t>
            </w:r>
          </w:p>
        </w:tc>
        <w:tc>
          <w:tcPr>
            <w:tcW w:type="dxa" w:w="181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+5 МВт·ч</w:t>
            </w:r>
          </w:p>
        </w:tc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Условная модель нормализации.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База при условиях отчётного месяца</w:t>
            </w:r>
          </w:p>
        </w:tc>
        <w:tc>
          <w:tcPr>
            <w:tcW w:type="dxa" w:w="181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125 МВт·ч</w:t>
            </w:r>
          </w:p>
        </w:tc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120 + 5.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Расход после мероприятия</w:t>
            </w:r>
          </w:p>
        </w:tc>
        <w:tc>
          <w:tcPr>
            <w:tcW w:type="dxa" w:w="181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105 МВт·ч</w:t>
            </w:r>
          </w:p>
        </w:tc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Условное измерение.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Снижение относительно базы</w:t>
            </w:r>
          </w:p>
        </w:tc>
        <w:tc>
          <w:tcPr>
            <w:tcW w:type="dxa" w:w="181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 МВт·ч</w:t>
            </w:r>
          </w:p>
        </w:tc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125 − 105.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Относительное снижение</w:t>
            </w:r>
          </w:p>
        </w:tc>
        <w:tc>
          <w:tcPr>
            <w:tcW w:type="dxa" w:w="181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16%</w:t>
            </w:r>
          </w:p>
        </w:tc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 / 125 × 100%.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При условной переменной цене 8 руб./кВт·ч изменение только энергетической составляющей расходов равно 20 000 × 8 = 160 000 руб. Это не прибыль и не полный денежный эффект: необходимо учесть дополнительные расходы на оборудование, обслуживание, измерения, вычисления, финансирование и структуру фактического счета.</w:t>
      </w:r>
    </w:p>
    <w:p>
      <w:pPr>
        <w:pStyle w:val="Heading2"/>
      </w:pPr>
      <w:r>
        <w:t>Три сравниваемых варианта</w:t>
      </w:r>
    </w:p>
    <w:p>
      <w:r>
        <w:rPr>
          <w:b w:val="0"/>
        </w:rPr>
        <w:t>А: продолжение текущего режима с необходимым обслуживанием. Б: учёт, регулирование графиков и подтверждённые меры снижения потерь. В: вариант Б плюс локальные источники или накопление, если они оправданы расчётом. Во всех вариантах сохраняются одинаковые требования к услуге, безопасности и природным ограничениям.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FF5E7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Пример полностью условный. Для него не рассчитан интервал неопределённости. Годовая экономия, окупаемость и доходность пилота не заявляются; месячный пример нельзя автоматически умножать на 12.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15 / ПИЛОТНАЯ ТЕРРИТОРИЯ</w:t>
      </w:r>
    </w:p>
    <w:p>
      <w:pPr>
        <w:pStyle w:val="Heading1"/>
      </w:pPr>
      <w:r>
        <w:t>Сафари-парк — Город знания</w:t>
      </w:r>
    </w:p>
    <w:p>
      <w:r>
        <w:rPr>
          <w:b w:val="0"/>
        </w:rPr>
        <w:t>Сафари-парк остаётся природным ядром, а Город знания связывает его с образованием, прикладной наукой и инфраструктурой. Модуль «Знания и Энергия» демонстрирует эту связь на ограниченном узле: наблюдение за ресурсами → учебная работа → исследование → выбранное улучшение → проверка. [П2]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025"/>
        <w:gridCol w:w="3231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Часть территории</w:t>
            </w:r>
          </w:p>
        </w:tc>
        <w:tc>
          <w:tcPr>
            <w:tcW w:type="dxa" w:w="402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Роль в модуле</w:t>
            </w:r>
          </w:p>
        </w:tc>
        <w:tc>
          <w:tcPr>
            <w:tcW w:type="dxa" w:w="323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Граница старта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Природное ядро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Биоценозы, экологические маршруты, наблюдения и программы семейного образования.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Наблюдения без изменения согласованных режимов природопользования.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Академия и кампус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Практикумы, архивная лаборатория, исследовательские группы и научные резиденции.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Имеющиеся или согласованные помещения; без обязательной новой застройки.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Инженерный узел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Учёт потребления, график нагрузки и сравнение вариантов эксплуатации.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Один разрешённый объект с ответственным оператором.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Город знания и партнёрские площадки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Подготовка специалистов, прикладные разработки и повторное использование решений.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Внешние площадки по соглашениям; крупные функции рассматриваются отдельно.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Сохраняемые элементы исходного замысла</w:t>
      </w:r>
    </w:p>
    <w:p>
      <w:r>
        <w:rPr>
          <w:b w:val="0"/>
        </w:rPr>
        <w:t>Академия биологии и экологии, клуб «Юный Зоолог», ZOO-отель «Русский Тигр» и тематические объекты могут стать участниками программ в пределах реально подтверждённых прав, готовности и режима эксплуатации. Их названия не означают, что все объекты уже построены или доступны для пилота.</w:t>
      </w:r>
    </w:p>
    <w:p>
      <w:r>
        <w:rPr>
          <w:b w:val="0"/>
        </w:rPr>
        <w:t>Упоминаемые в исходной концепции 67,21 га — исходный проектный параметр, а не подтверждение актуальной площади, прав или разрешённой застройки. Для ZE-01 площадь не используется как основание мощности, бюджета или числа посетителей без отдельной проверки. [П2]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Задача пилота — доказать работоспособность связки знаний и энергии. Сохранение природного ядра важнее насыщения территории демонстрационными установками.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16 / ПАСПОРТ ПИЛОТА</w:t>
      </w:r>
    </w:p>
    <w:p>
      <w:pPr>
        <w:pStyle w:val="Heading1"/>
      </w:pPr>
      <w:r>
        <w:t>ZE-01 в составе NMU-P001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cantSplit/>
          <w:tblHeader/>
        </w:trPr>
        <w:tc>
          <w:tcPr>
            <w:tcW w:type="dxa" w:w="260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03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Предлагаемое содержание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Наименование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«Знания и Энергия»: Архив, обучение, учёт и сценарии одного инженерного узла.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Цель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Проверить, помогает ли связка знаний и измерений принимать более обоснованные решения.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Площадка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Сафари-парк — Город знания либо согласованный партнёрский узел в составе его программы.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Граница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 инженерный объект, архивная коллекция, две учебные программы, стартовый профиль ОРИОН.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Срок подготовки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90 дней от утверждения команды, доступа и бюджета.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Бюджет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Не установлен. Составляется по обследованию, трудозатратам и предложениям поставщиков.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Вне границы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Строительство города, крупного центра обработки данных и обязательная покупка генерации.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Предлагаемые критерии приёмки, не достигнутые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cantSplit/>
          <w:tblHeader/>
        </w:trPr>
        <w:tc>
          <w:tcPr>
            <w:tcW w:type="dxa" w:w="260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Результат</w:t>
            </w:r>
          </w:p>
        </w:tc>
        <w:tc>
          <w:tcPr>
            <w:tcW w:type="dxa" w:w="703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Критерий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Архив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100 описанных объектов; определён режим доступа; 10 подтверждённых связей с применением.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Измерения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Не менее 30 последовательных дней; не менее 95% валидных интервалов в согласованной границе.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Сценарии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Три варианта при одинаковых требованиях к услуге и явно указанных допущениях.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Обучение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Две проведённые программы и протокол практической оценки; численность определяется ресурсами.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Профиль и доказательства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12 паспортов показателей; доступные значения либо объяснённое отсутствие данных; одна проверка восстановления.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Решение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Независимый разбор; перечень замечаний; решение о продолжении, доработке или остановке.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Порог 95%, объём 100 объектов и другие числа — предлагаемые критерии именно этого пилота. Они не являются отраслевыми нормативами. Экономия энергии не гарантируется и не служит единственным условием полезности.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17 / УПРАВЛЕНИЕ И ЗАЩИТА</w:t>
      </w:r>
    </w:p>
    <w:p>
      <w:pPr>
        <w:pStyle w:val="Heading1"/>
      </w:pPr>
      <w:r>
        <w:t>Разделяем полномочия и конфликты интересов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  <w:tblHeader/>
        </w:trPr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663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Ответственность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Совет проекта / заказчик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Утверждает цель, границы, бюджет, ограничения и решение о следующем этапе.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Владелец знаний и Архива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Отвечает за происхождение, права, качество описания и восстановление.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Оператор инженерного узла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Отвечает за безопасную эксплуатацию, измерения и согласование изменений.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ИАЦ / методический руководитель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Описывает модели, паспорта показателей, допущения и ограничения выводов.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Учётная группа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Сверяет данные, единицы, расходы и устранение двойного счёта.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Независимый проверяющий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Повторяет существенные расчёты, проверяет приёмку и раскрывает конфликт интересов.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Представители участников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Передают обратную связь по доступности, качеству обучения и влиянию на территорию.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Риски, которые нельзя прятать итоговым баллом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  <w:tblHeader/>
        </w:trPr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Риск</w:t>
            </w:r>
          </w:p>
        </w:tc>
        <w:tc>
          <w:tcPr>
            <w:tcW w:type="dxa" w:w="663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Действие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Недостоверные данные или завышенный эффект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Остановить публикацию вывода; сохранить исходную версию; повторить проверку.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Нарушение безопасности или природного ограничения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Остановить затронутый модуль до оценки уполномоченным специалистом.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Отсутствие прав на материал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Ограничить доступ; установить основание использования; не раскрывать автоматически.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Превышение бюджета или зависимость от поставщика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Пересмотреть этап; проверить экспорт данных и альтернативу; не расширять обязательства молча.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Утрата данных или недоступность сервиса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Выполнить план восстановления; зафиксировать результат испытания и исправить слабые места.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ИИ поддерживает анализ, но не принимает окончательные решения о правах людей, безопасности, финансировании или управлении критическими системами. Для исправлений и оспаривания предусмотрен открытый журнал обращений.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18 / ПЕРВЫЕ 90 ДНЕЙ</w:t>
      </w:r>
    </w:p>
    <w:p>
      <w:pPr>
        <w:pStyle w:val="Heading1"/>
      </w:pPr>
      <w:r>
        <w:t>От материалов и измерений — к решению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592"/>
        <w:gridCol w:w="3628"/>
      </w:tblGrid>
      <w:tr>
        <w:trPr>
          <w:cantSplit/>
          <w:tblHeader/>
        </w:trPr>
        <w:tc>
          <w:tcPr>
            <w:tcW w:type="dxa" w:w="1417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Срок</w:t>
            </w:r>
          </w:p>
        </w:tc>
        <w:tc>
          <w:tcPr>
            <w:tcW w:type="dxa" w:w="4592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Основные работы</w:t>
            </w:r>
          </w:p>
        </w:tc>
        <w:tc>
          <w:tcPr>
            <w:tcW w:type="dxa" w:w="362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Контрольный выход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1–15</w:t>
            </w:r>
          </w:p>
        </w:tc>
        <w:tc>
          <w:tcPr>
            <w:tcW w:type="dxa" w:w="459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Назначить роли; проверить права и доступ; выбрать узел; описать границу; составить каталог и план наблюдений.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Паспорт ZE-01, реестр исходных данных, бюджет подготовки и перечень ограничений.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16–35</w:t>
            </w:r>
          </w:p>
        </w:tc>
        <w:tc>
          <w:tcPr>
            <w:tcW w:type="dxa" w:w="459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Запустить сбор данных; описать архивные объекты; утвердить 12 паспортов и две программы; зафиксировать базовые сценарии.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Работающий учёт, версии словарей, материалы программ и первые проверки качества.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36–60</w:t>
            </w:r>
          </w:p>
        </w:tc>
        <w:tc>
          <w:tcPr>
            <w:tcW w:type="dxa" w:w="459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Продолжить наблюдения; сравнить три варианта; провести программы; связать материалы с решениями; испытать восстановление.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Набор наблюдений не менее 30 дней, расчётные досье, протоколы обучения и восстановления.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61–90</w:t>
            </w:r>
          </w:p>
        </w:tc>
        <w:tc>
          <w:tcPr>
            <w:tcW w:type="dxa" w:w="459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Проверить данные и расчёты; закрыть замечания; сформировать многомерный профиль; подготовить решение следующего этапа.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Акт приёмки либо перечень доработок, расходы, ограничения и обоснование продолжения.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Условия перехода между этапами</w:t>
      </w:r>
    </w:p>
    <w:p>
      <w:r>
        <w:rPr>
          <w:b w:val="0"/>
        </w:rPr>
        <w:t>Нельзя переходить к испытанию режима, пока не определены безопасность и ответственность. Нельзя объявлять эффект, пока не согласованы база и качество данных. Нельзя тиражировать решение, пока не проверены его воспроизводимость, права и применимость на другой площадке.</w:t>
      </w:r>
    </w:p>
    <w:p>
      <w:pPr>
        <w:pStyle w:val="Heading2"/>
      </w:pPr>
      <w:r>
        <w:t>Что должно лежать на столе на 90-й день</w:t>
      </w:r>
    </w:p>
    <w:p>
      <w:r>
        <w:rPr>
          <w:b w:val="0"/>
        </w:rPr>
        <w:t>Одно досье пилота с паспортом, источниками, 19 связанными балансами в применимой части, реестром измерений, 12 паспортами показателей, сценариями, протоколами программ, расходами, рисками, результатом независимой проверки и проектом следующего решения. Неизвестные значения остаются неизвестными и имеют план получения.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90 дней — срок предлагаемой подготовки и проверки прототипа после разрешения на старт. Он не означает завершение строительства, годовой энергоаудит или полную оценку долгосрочного экологического эффекта.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19 / МАСШТАБИРОВАНИЕ</w:t>
      </w:r>
    </w:p>
    <w:p>
      <w:pPr>
        <w:pStyle w:val="Heading1"/>
      </w:pPr>
      <w:r>
        <w:t>Сеть знаний — кооперация энергетических узлов</w:t>
      </w:r>
    </w:p>
    <w:p>
      <w:r>
        <w:rPr>
          <w:b w:val="0"/>
        </w:rPr>
        <w:t>После проверки пилота предлагается расширять не только набор объектов, но и способность участников обмениваться методами, кадрами, разрешёнными данными и инженерными решениями. Общая сеть строится на совместимости и ответственности, а не на обязательной централизации собственности.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3628"/>
        <w:gridCol w:w="3628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Ступень</w:t>
            </w:r>
          </w:p>
        </w:tc>
        <w:tc>
          <w:tcPr>
            <w:tcW w:type="dxa" w:w="362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тиражируется</w:t>
            </w:r>
          </w:p>
        </w:tc>
        <w:tc>
          <w:tcPr>
            <w:tcW w:type="dxa" w:w="362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проверяется заново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 узел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Словарь, архивная карточка, профиль нагрузки и цикл принятия решения.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Качество данных и полезность для конкретной услуги.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Парк — Город знания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Учебные программы, управление ресурсами и несколько связанных узлов.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Эксплуатация, сезонность, нагрузка на природу и организационная ёмкость.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Региональная сеть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Каталог решений, подготовка операторов, совместные исследования и сервис.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Логистика, взаимные обязательства, экономика сопровождения и доступность.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«Парки Мира» / международная кооперация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Совместимые описания, исследовательские протоколы и договорные программы.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Местное право, языки, климат, права на материалы и допустимость обмена.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Что не следует из объединения</w:t>
      </w:r>
    </w:p>
    <w:p>
      <w:r>
        <w:rPr>
          <w:b w:val="0"/>
        </w:rPr>
        <w:t>Вычислительная кооперация не создаёт единой электрической сети. Обмен знаниями не передаёт права на генерацию. Международный каталог не отменяет режимы данных и законодательства стран. Наличие единой методики не делает разнородные территории автоматически сопоставимыми.</w:t>
      </w:r>
    </w:p>
    <w:p>
      <w:pPr>
        <w:pStyle w:val="Heading2"/>
      </w:pPr>
      <w:r>
        <w:t>Критерий зрелости следующего узла</w:t>
      </w:r>
    </w:p>
    <w:p>
      <w:r>
        <w:rPr>
          <w:b w:val="0"/>
        </w:rPr>
        <w:t>Есть ответственный оператор; подтверждена потребность; определены права и ресурсы; подготовлены специалисты; доступен переносимый архив; согласован план измерения; расходы и обязательства понятны; существенные ограничения выполнены. Новая площадка принимает протокол, но подтверждает свою базу самостоятельно.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Энергия обеспечивает местную надёжность. Знания обеспечивают переносимость решений. Сеть ценна тогда, когда каждый участник получает проверяемую пользу, сохраняя ответственность за свою территорию.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20 / ТЕХНИЧЕСКОЕ ЗАДАНИЕ</w:t>
      </w:r>
    </w:p>
    <w:p>
      <w:pPr>
        <w:pStyle w:val="Heading1"/>
      </w:pPr>
      <w:r>
        <w:t>Минимальный состав данных и системы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7313"/>
      </w:tblGrid>
      <w:tr>
        <w:trPr>
          <w:cantSplit/>
          <w:tblHeader/>
        </w:trPr>
        <w:tc>
          <w:tcPr>
            <w:tcW w:type="dxa" w:w="232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Объект</w:t>
            </w:r>
          </w:p>
        </w:tc>
        <w:tc>
          <w:tcPr>
            <w:tcW w:type="dxa" w:w="731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Минимальные поля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Архивный объект</w:t>
            </w:r>
          </w:p>
        </w:tc>
        <w:tc>
          <w:tcPr>
            <w:tcW w:type="dxa" w:w="73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ID, название, автор/источник, дата, версия, формат, права, доступ, контроль целостности, связанные программы и решения.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Измерение</w:t>
            </w:r>
          </w:p>
        </w:tc>
        <w:tc>
          <w:tcPr>
            <w:tcW w:type="dxa" w:w="73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ID узла и прибора, величина, значение, единица, интервал, часовой пояс, метод, статус качества, исходный файл.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Сценарий</w:t>
            </w:r>
          </w:p>
        </w:tc>
        <w:tc>
          <w:tcPr>
            <w:tcW w:type="dxa" w:w="73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ID проекта, базовые данные, границы, версия модели, предпосылки, ограничения, результат, неопределённость, исполнитель.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Показатель</w:t>
            </w:r>
          </w:p>
        </w:tc>
        <w:tc>
          <w:tcPr>
            <w:tcW w:type="dxa" w:w="73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Код, определение, формула, источник, период, объект, знаменатель, метод сравнения, владелец, статус проверки.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Решение</w:t>
            </w:r>
          </w:p>
        </w:tc>
        <w:tc>
          <w:tcPr>
            <w:tcW w:type="dxa" w:w="73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Полномочие, основание, выбранный сценарий, бюджет, срок, ответственный, риски, условия пересмотра и связи с балансами.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Приёмка</w:t>
            </w:r>
          </w:p>
        </w:tc>
        <w:tc>
          <w:tcPr>
            <w:tcW w:type="dxa" w:w="73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Что предъявлено, какой критерий применён, кем проверено, замечания, заключение и сохранённые доказательства.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Функциональные требования</w:t>
      </w:r>
    </w:p>
    <w:p>
      <w:r>
        <w:rPr>
          <w:b w:val="0"/>
        </w:rPr>
        <w:t>Поиск по объекту и источнику; разграничение доступа; журнал версий; выгрузка реестров в открытом машиночитаемом формате; сохранение оригиналов; связь показателя с первичными данными; проверка пропусков; воспроизводимый расчёт; резервирование и испытание восстановления. Автоматизация добавляется после проверки ручного процесса.</w:t>
      </w:r>
    </w:p>
    <w:p>
      <w:pPr>
        <w:pStyle w:val="Heading2"/>
      </w:pPr>
      <w:r>
        <w:t>Приёмочное испытание системы</w:t>
      </w:r>
    </w:p>
    <w:p>
      <w:r>
        <w:rPr>
          <w:b w:val="0"/>
        </w:rPr>
        <w:t>Выбрать одно решение; открыть использованный материал; повторить расчёт на зафиксированной версии; проверить права; проследить расход и результат; восстановить согласованный набор из резервной копии. Испытание считается завершённым только при наличии протокола и закрытия существенных замечаний.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Обязательная карточка: ID → источник → метод → период → версия → права → ответственный → баланс → решение → доказательство. Разные сущности не объединяются одним полем «ценность».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21 / ПРОЕКТ РЕШЕНИЯ</w:t>
      </w:r>
    </w:p>
    <w:p>
      <w:pPr>
        <w:pStyle w:val="Heading1"/>
      </w:pPr>
      <w:r>
        <w:t>Запустить подготовку модуля ZE-01</w:t>
      </w:r>
    </w:p>
    <w:p>
      <w:r>
        <w:rPr>
          <w:b w:val="0"/>
        </w:rPr>
        <w:t>Ниже приведена рабочая формулировка решения для обсуждения инициатором, оператором площадки и участниками. Она не является подписанным распорядительным актом.</w:t>
      </w:r>
    </w:p>
    <w:p>
      <w:pPr>
        <w:pStyle w:val="Heading2"/>
      </w:pPr>
      <w:r>
        <w:t>1. Принять рабочую концепцию</w:t>
      </w:r>
    </w:p>
    <w:p>
      <w:r>
        <w:rPr>
          <w:b w:val="0"/>
        </w:rPr>
        <w:t>Принять модуль «Новый Мировой Уклад — Знания и Энергия» как основу подготовки ZE-01 в составе пилота NMU-P001 «Сафари-парк — Город знания».</w:t>
      </w:r>
    </w:p>
    <w:p>
      <w:pPr>
        <w:pStyle w:val="Heading2"/>
      </w:pPr>
      <w:r>
        <w:t>2. Установить границы</w:t>
      </w:r>
    </w:p>
    <w:p>
      <w:r>
        <w:rPr>
          <w:b w:val="0"/>
        </w:rPr>
        <w:t>Ограничить старт одним инженерным узлом, архивной коллекцией, двумя образовательными программами и набором из 12 показателей; не включать обязательства по крупному строительству.</w:t>
      </w:r>
    </w:p>
    <w:p>
      <w:pPr>
        <w:pStyle w:val="Heading2"/>
      </w:pPr>
      <w:r>
        <w:t>3. Назначить ответственных</w:t>
      </w:r>
    </w:p>
    <w:p>
      <w:r>
        <w:rPr>
          <w:b w:val="0"/>
        </w:rPr>
        <w:t>Определить заказчика, владельца Архива, оператора узла, методического руководителя, Учётную группу и независимого проверяющего; закрепить полномочия и конфликты интересов.</w:t>
      </w:r>
    </w:p>
    <w:p>
      <w:pPr>
        <w:pStyle w:val="Heading2"/>
      </w:pPr>
      <w:r>
        <w:t>4. Разрешить подготовительные работы</w:t>
      </w:r>
    </w:p>
    <w:p>
      <w:r>
        <w:rPr>
          <w:b w:val="0"/>
        </w:rPr>
        <w:t>После подтверждения прав, доступа и бюджета начать 90-дневный цикл; утвердить план измерений, правила безопасности и формы приёмки.</w:t>
      </w:r>
    </w:p>
    <w:p>
      <w:pPr>
        <w:pStyle w:val="Heading2"/>
      </w:pPr>
      <w:r>
        <w:t>5. Сохранить единый учёт</w:t>
      </w:r>
    </w:p>
    <w:p>
      <w:r>
        <w:rPr>
          <w:b w:val="0"/>
        </w:rPr>
        <w:t>Использовать неизменные названия B01–B19 и R01–R09; вести версии показателей, архивные связи, расходы, риски и историю исправлений.</w:t>
      </w:r>
    </w:p>
    <w:p>
      <w:pPr>
        <w:pStyle w:val="Heading2"/>
      </w:pPr>
      <w:r>
        <w:t>6. Рассмотреть следующий этап</w:t>
      </w:r>
    </w:p>
    <w:p>
      <w:r>
        <w:rPr>
          <w:b w:val="0"/>
        </w:rPr>
        <w:t>По итогам проверки принять отдельное решение: продолжить, доработать, ограничить или остановить модуль. Масштабирование обосновать результатами, а не только готовностью презентации.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Приложения к подписываемому решению: паспорт пилота; бюджет; состав участников; план измерений; реестр прав и доступа; дорожная карта; критерии приёмки; порядок независимой проверки.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pStyle w:val="Caption"/>
      </w:pPr>
      <w:r>
        <w:rPr>
          <w:b w:val="0"/>
        </w:rPr>
        <w:t>Согласование: ____________________    Дата: ____________________</w:t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22 / ИСТОЧНИКИ И ВЕРСИИ</w:t>
      </w:r>
    </w:p>
    <w:p>
      <w:pPr>
        <w:pStyle w:val="Heading1"/>
      </w:pPr>
      <w:r>
        <w:t>Основания и статус утверждений</w:t>
      </w:r>
    </w:p>
    <w:p>
      <w:pPr>
        <w:pStyle w:val="Caption"/>
      </w:pPr>
      <w:r>
        <w:rPr>
          <w:b w:val="0"/>
        </w:rPr>
        <w:t>Внешние источники проверены 05.09.2026. Ссылки являются методическими основаниями отдельных разделов и не означают одобрения проекта указанными организациями.</w:t>
      </w:r>
    </w:p>
    <w:p>
      <w:pPr>
        <w:pStyle w:val="Heading2"/>
      </w:pPr>
      <w:r>
        <w:t>Материалы проекта</w:t>
      </w:r>
    </w:p>
    <w:p>
      <w:pPr>
        <w:pStyle w:val="Caption"/>
      </w:pPr>
      <w:r>
        <w:rPr>
          <w:b w:val="0"/>
        </w:rPr>
        <w:t>[П1] «Новый Мировой Уклад — ЭКВИЛИБРИУМ», Word, 05.09.2026: архитектура, B01–B19, R01–R09 и NMU-P001.</w:t>
        <w:br/>
        <w:t>[П2] «Сафари-парк — Город знания ЭКВИЛИБРИУМ», Word, 05.09.2026: исходная территория и функциональные блоки.</w:t>
        <w:br/>
        <w:t>[П3] «Новый Уклад — ОРИОН 22:22», PowerPoint, 05.09.2026: профиль развития, справочники и Архив.</w:t>
      </w:r>
    </w:p>
    <w:p>
      <w:pPr>
        <w:pStyle w:val="Heading2"/>
      </w:pPr>
      <w:r>
        <w:t>Первичные внешние источники</w:t>
      </w:r>
    </w:p>
    <w:p>
      <w:pPr>
        <w:spacing w:after="120"/>
      </w:pPr>
      <w:hyperlink r:id="rId12">
        <w:r>
          <w:rPr>
            <w:color w:val="246FAD"/>
            <w:sz w:val="20"/>
          </w:rPr>
          <w:t>[И1] IEA. Key Questions on Energy and AI, 16.04.2026. Executive summary.</w:t>
        </w:r>
      </w:hyperlink>
    </w:p>
    <w:p>
      <w:pPr>
        <w:spacing w:after="120"/>
      </w:pPr>
      <w:hyperlink r:id="rId13">
        <w:r>
          <w:rPr>
            <w:color w:val="246FAD"/>
            <w:sz w:val="20"/>
          </w:rPr>
          <w:t>[И2] UNESCO. Recommendation on Open Science, 2021.</w:t>
        </w:r>
      </w:hyperlink>
    </w:p>
    <w:p>
      <w:pPr>
        <w:spacing w:after="120"/>
      </w:pPr>
      <w:hyperlink r:id="rId14">
        <w:r>
          <w:rPr>
            <w:color w:val="246FAD"/>
            <w:sz w:val="20"/>
          </w:rPr>
          <w:t>[И3] Library of Congress. PREMIS Data Dictionary, Version 3.0.</w:t>
        </w:r>
      </w:hyperlink>
    </w:p>
    <w:p>
      <w:pPr>
        <w:spacing w:after="120"/>
      </w:pPr>
      <w:hyperlink r:id="rId15">
        <w:r>
          <w:rPr>
            <w:color w:val="246FAD"/>
            <w:sz w:val="20"/>
          </w:rPr>
          <w:t>[И4] W3C. PROV-O: The PROV Ontology, Recommendation, 2013.</w:t>
        </w:r>
      </w:hyperlink>
    </w:p>
    <w:p>
      <w:pPr>
        <w:spacing w:after="120"/>
      </w:pPr>
      <w:hyperlink r:id="rId16">
        <w:r>
          <w:rPr>
            <w:color w:val="246FAD"/>
            <w:sz w:val="20"/>
          </w:rPr>
          <w:t>[И5] U.S. DOE / FEMP. M&amp;V Guidelines, Version 5.0, 14.10.2024.</w:t>
        </w:r>
      </w:hyperlink>
    </w:p>
    <w:p>
      <w:pPr>
        <w:spacing w:after="120"/>
      </w:pPr>
      <w:hyperlink r:id="rId17">
        <w:r>
          <w:rPr>
            <w:color w:val="246FAD"/>
            <w:sz w:val="20"/>
          </w:rPr>
          <w:t>[И6] World Bank. Power Purchase Agreements and Energy Purchase Agreements.</w:t>
        </w:r>
      </w:hyperlink>
    </w:p>
    <w:p>
      <w:pPr>
        <w:spacing w:after="120"/>
      </w:pPr>
      <w:hyperlink r:id="rId18">
        <w:r>
          <w:rPr>
            <w:color w:val="246FAD"/>
            <w:sz w:val="20"/>
          </w:rPr>
          <w:t>[И7] OECD / EU / EC-JRC. Handbook on Constructing Composite Indicators, 2008.</w:t>
        </w:r>
      </w:hyperlink>
    </w:p>
    <w:p>
      <w:pPr>
        <w:pStyle w:val="Heading2"/>
      </w:pPr>
      <w:r>
        <w:t>Что добавлено в версии 1.0</w:t>
      </w:r>
    </w:p>
    <w:p>
      <w:r>
        <w:rPr>
          <w:b w:val="0"/>
        </w:rPr>
        <w:t>Модуль ZE-01; двусторонняя связь знаний и энергии; рабочий цикл Архива; поэтапный ГРИД; физический баланс с накоплением; 12 паспортов; два условных расчётных примера; критерии приёмки и 90-дневная дорожная карта. Названия исходных балансов и реестров сохранены. Иллюстрация использована из текущего обсуждения.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ФАКТ — утверждение с источником. ПРЕДЛОЖЕНИЕ — проектная архитектура, цель или правило. ПРИМЕР — условные числа. РЕЗУЛЬТАТ — измерение и приёмка после выполнения работ. В этой версии реальных рейтингов и достигнутой экономии пилота нет.</w:t>
            </w:r>
          </w:p>
        </w:tc>
      </w:tr>
    </w:tbl>
    <w:p>
      <w:pPr>
        <w:spacing w:after="20"/>
      </w:pPr>
      <w:r>
        <w:rPr>
          <w:b w:val="0"/>
        </w:rPr>
      </w:r>
    </w:p>
    <w:sectPr w:rsidR="00FC693F" w:rsidRPr="0006063C" w:rsidSect="00034616">
      <w:headerReference w:type="default" r:id="rId9"/>
      <w:footerReference w:type="default" r:id="rId10"/>
      <w:footerReference w:type="first" r:id="rId19"/>
      <w:footerReference w:type="even" r:id="rId20"/>
      <w:pgSz w:w="11906" w:h="16838"/>
      <w:pgMar w:top="1020" w:right="1134" w:bottom="935" w:left="113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tabs>
        <w:tab w:pos="9071" w:val="right"/>
      </w:tabs>
    </w:pPr>
    <w:r>
      <w:t>КОНЦЕПЦИЯ 1.0  •  05.09.2026  •  ПРОЕКТ ДЛЯ ОБСУЖДЕНИЯ</w:t>
    </w:r>
    <w:r>
      <w:tab/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246FAD"/>
      </w:rPr>
      <w:t>ЭКВИЛИБРИУМ  /  ЗНАНИЯ И ЭНЕРГИЯ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183B5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83B56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46FAD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183B56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80"/>
      <w:contextualSpacing/>
    </w:pPr>
    <w:rPr>
      <w:rFonts w:asciiTheme="majorHAnsi" w:eastAsiaTheme="majorEastAsia" w:hAnsiTheme="majorHAnsi" w:cstheme="majorBidi" w:ascii="Calibri" w:hAnsi="Calibri"/>
      <w:color w:val="183B56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80" w:after="140"/>
    </w:pPr>
    <w:rPr>
      <w:rFonts w:asciiTheme="majorHAnsi" w:eastAsiaTheme="majorEastAsia" w:hAnsiTheme="majorHAnsi" w:cstheme="majorBidi" w:ascii="Calibri" w:hAnsi="Calibri"/>
      <w:i/>
      <w:iCs/>
      <w:color w:val="246FAD"/>
      <w:spacing w:val="15"/>
      <w:sz w:val="3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 w:line="264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00"/>
    </w:pPr>
    <w:rPr>
      <w:rFonts w:ascii="Calibri" w:hAnsi="Calibri"/>
      <w:b/>
      <w:bCs/>
      <w:color w:val="54657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iea.org/reports/key-questions-on-energy-and-ai/executive-summary" TargetMode="External"/><Relationship Id="rId13" Type="http://schemas.openxmlformats.org/officeDocument/2006/relationships/hyperlink" Target="https://www.unesco.org/en/legal-affairs/recommendation-open-science" TargetMode="External"/><Relationship Id="rId14" Type="http://schemas.openxmlformats.org/officeDocument/2006/relationships/hyperlink" Target="https://www.loc.gov/standards/premis/v3/index.html" TargetMode="External"/><Relationship Id="rId15" Type="http://schemas.openxmlformats.org/officeDocument/2006/relationships/hyperlink" Target="https://www.w3.org/TR/prov-o/" TargetMode="External"/><Relationship Id="rId16" Type="http://schemas.openxmlformats.org/officeDocument/2006/relationships/hyperlink" Target="https://www.energy.gov/cmei/femp/articles/mv-guidelines-measurement-and-verification-performance-based-contracts-version-0" TargetMode="External"/><Relationship Id="rId17" Type="http://schemas.openxmlformats.org/officeDocument/2006/relationships/hyperlink" Target="https://ppp.worldbank.org/sector/energy/energy-power-agreements/power-purchase-agreements" TargetMode="External"/><Relationship Id="rId18" Type="http://schemas.openxmlformats.org/officeDocument/2006/relationships/hyperlink" Target="https://www.oecd.org/en/publications/handbook-on-constructing-composite-indicators-methodology-and-user-guide_9789264043466-en.html" TargetMode="External"/><Relationship Id="rId19" Type="http://schemas.openxmlformats.org/officeDocument/2006/relationships/footer" Target="footer2.xml"/><Relationship Id="rId20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Новый Мировой Уклад — Знания и Энергия</dc:title>
  <dc:subject>ЭКВИЛИБРИУМ: Архив, наука, Вычислительный ГРИД, энергетика и Города знания</dc:subject>
  <dc:creator>Проект ЭКВИЛИБРИУМ</dc:creator>
  <cp:keywords>ЭКВИЛИБРИУМ, Знания и Энергия, Новый Уклад, ОРИОН 22:22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