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Краткое резюме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Задача исследования</w:t>
      </w:r>
    </w:p>
    <w:p>
      <w:r>
        <w:t>Материалы «Анализ мировых балансов — 130 лет» рассматривают период с 1895 по 2025 год через взаимосвязь человека, природных ресурсов, производства, технологий, финансов и общественных институтов. Центральный вопрос концепции ЭКВИЛИБРИУМ: как оценивать развитие, если увеличение выпуска и доходов сопровождается нагрузкой на воду, землю, здоровье и возможности будущих поколений? Авторы предлагают расширить язык стратегического анализа и рассматривать результаты решений одновременно в нескольких измерениях. Настоящий пакет систематизирует эту постановку задачи и переводит её в формат обсуждения и подготовки пилотов. Он сохраняет качественный характер исходников: численные ряды, рассчитанные индексы, веса и результаты валидации в них не представлены.</w:t>
      </w:r>
    </w:p>
    <w:p>
      <w:pPr>
        <w:pStyle w:val="Heading1"/>
      </w:pPr>
      <w:r>
        <w:t>Историческая рамка</w:t>
      </w:r>
    </w:p>
    <w:p>
      <w:r>
        <w:t>Обзор объединяет шесть условных периодов: индустриальное ускорение 1895–1914 годов, мировые войны 1914–1945 годов, послевоенное восстановление 1945–1970 годов, энергетические шоки и технологическую гонку 1970–1991 годов, глобализацию и цифровой переход 1991–2020 годов, вызовы 2020–2025 годов. Такая периодизация помогает сопоставлять возможности эпох и возникавшие ограничения. Она не означает, что все регионы двигались одинаково или что исторические процессы укладываются в строгие границы. К ресурсам и промышленности постепенно добавлялась всё большая роль финансов, знаний и данных; прежние факторы силы продолжали действовать. Выражение «Новый Уклад» обозначает авторское представление о желаемом направлении развития, а не установленный итог истории.</w:t>
      </w:r>
    </w:p>
    <w:p>
      <w:pPr>
        <w:pStyle w:val="Heading1"/>
      </w:pPr>
      <w:r>
        <w:t>Архитектура метода</w:t>
      </w:r>
    </w:p>
    <w:p>
      <w:r>
        <w:t>Для организации анализа предложены двенадцать контуров и девятнадцать связанных балансов. Контуры выделяют предметные области: население, энергию, промышленность, финансы, транспорт, науку, технологии, продовольствие, воду, экологию, культуру и безопасность. Балансы уточняют управленческую постановку задачи, включая образование, здоровье, управление, цифровую среду, международную кооперацию и ответственность перед следующими поколениями. Между двумя классификациями не задано формальное взаимно-однозначное соответствие. Практический смысл этой архитектуры состоит в том, чтобы для каждого существенного решения определить затрагиваемые области, необходимые данные, возможные ограничения и ответственных за проверку. Заполненный перечень вопросов ещё не доказывает достижение устойчивости: выводы должны опираться на наблюдения, расчёты и воспроизводимые основания.</w:t>
      </w:r>
    </w:p>
    <w:p>
      <w:pPr>
        <w:pStyle w:val="Heading1"/>
      </w:pPr>
      <w:r>
        <w:t>Профили и межбалансовые связи</w:t>
      </w:r>
    </w:p>
    <w:p>
      <w:r>
        <w:t>Вместо единственного места в рейтинге авторы предлагают сопоставлять ресурсную базу, энергетическую устойчивость, научно-технологический потенциал, качество жизни, экологию и связанность управления. Профили России, Китая, США, Европы и мира в исходниках отражают авторские качественные оценки. Они не образуют рассчитанной таблицы победителей: Европа требует уточнения географического состава, а мировой уровень включает остальные объекты. Матрица 19×19 предназначена для постановки вопросов о связях между балансами. Например, энергетический проект следует рассматривать вместе с его потребностями в воде, земле, финансировании, кадрах и инфраструктуре. Направление и величина каждого предполагаемого эффекта требуют отдельного обоснования; наличие связи в матрице само по себе не устанавливает причинность.</w:t>
      </w:r>
    </w:p>
    <w:p>
      <w:pPr>
        <w:pStyle w:val="Heading1"/>
      </w:pPr>
      <w:r>
        <w:t>Переход к проверяемой практике</w:t>
      </w:r>
    </w:p>
    <w:p>
      <w:r>
        <w:t>Предлагаемая рабочая последовательность объединяет источники данных, паспорт проекта, матрицу связей, архив доказательств, пилот и последующее решение. Паспорт должен фиксировать границы проекта, исходное состояние, ожидаемые изменения и условия оценки. Архив нужен для сохранения источников, версий расчётов и оснований выводов. Вычислительный ГРИД упоминается как предполагаемый инструмент сценарного анализа; его спецификация и проверенная точность в исходниках отсутствуют. Среди направлений проверки названы Город знания, ECO-PPA GLOBAL, сохранение наследия и мониторинг биоценозов. Пакет не утверждает, что эти направления уже реализованы или доказали эффективность метода. Состав конкретных пилотов, их площадки, владельцы и доступные данные должны определяться отдельным решением.</w:t>
      </w:r>
    </w:p>
    <w:p>
      <w:pPr>
        <w:pStyle w:val="Heading1"/>
      </w:pPr>
      <w:r>
        <w:t>Результат первых 90 дней</w:t>
      </w:r>
    </w:p>
    <w:p>
      <w:r>
        <w:t>План подготовки предусматривает согласование словаря и команды, составление карты источников, разработку качественных профилей, проверку межбалансовых гипотез, оформление паспорта и архива, затем подготовку решения о пилотировании. Результатом может стать ограниченный и проверяемый набор материалов с явными пробелами в данных. За этот срок нельзя заранее обещать создание полного сопоставимого мирового датасета за 130 лет или подтверждение долгосрочных эффектов. Предлагаемые в пакете критерии приёмки относятся к качеству подготовки: понятным определениям, прослеживаемости источников, зафиксированным допущениям и ответственности участников. Масштабирование следует рассматривать после оценки конкретного пилота. Ценностный ориентир концепции — воспроизводство жизни, знаний, энергии, воды, земли и человеческого достоинства — остаётся направлением работы, а не численным прогнозом.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резюме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