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5B22"/>
          <w:sz w:val="18"/>
        </w:rPr>
        <w:t>ЗНАНИЯ И ЭНЕРГИЯ  /  МОДУЛЬ ПРОГРАММЫ НАРОДНОГО САМОРАЗВИТИЯ</w:t>
      </w:r>
    </w:p>
    <w:p>
      <w:r>
        <w:rPr>
          <w:b/>
          <w:color w:val="C85B22"/>
          <w:sz w:val="76"/>
        </w:rPr>
        <w:t>ФЕНИКС</w:t>
      </w:r>
    </w:p>
    <w:p>
      <w:r>
        <w:rPr>
          <w:b/>
          <w:color w:val="16354A"/>
          <w:sz w:val="26"/>
        </w:rPr>
        <w:t>ЭВОЛЮЦИОННАЯ СИСТЕМА</w:t>
      </w:r>
    </w:p>
    <w:p>
      <w:pPr>
        <w:spacing w:before="320" w:after="280"/>
      </w:pPr>
      <w:r>
        <w:rPr>
          <w:b/>
          <w:color w:val="16354A"/>
          <w:sz w:val="62"/>
        </w:rPr>
        <w:t>Конструктор</w:t>
        <w:br/>
        <w:t>идеального эталона</w:t>
      </w:r>
    </w:p>
    <w:p>
      <w:r>
        <w:rPr>
          <w:b w:val="0"/>
          <w:color w:val="197D78"/>
          <w:sz w:val="32"/>
        </w:rPr>
        <w:t>От образа желаемого результата</w:t>
        <w:br/>
        <w:t>к проверяемой и воспроизводимой практике</w:t>
      </w:r>
    </w:p>
    <w:p>
      <w:r>
        <w:drawing>
          <wp:inline xmlns:a="http://schemas.openxmlformats.org/drawingml/2006/main" xmlns:pic="http://schemas.openxmlformats.org/drawingml/2006/picture">
            <wp:extent cx="6263999" cy="37941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hoenix_crop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7941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C85B22"/>
          <w:sz w:val="18"/>
        </w:rPr>
        <w:t>ОБРАЗ  →  ТРЕБОВАНИЯ  →  ПРАКТИКА  →  ДОКАЗАТЕЛЬСТВА  →  ОБНОВЛЕНИЕ</w:t>
      </w:r>
    </w:p>
    <w:p>
      <w:r>
        <w:rPr>
          <w:b/>
          <w:sz w:val="22"/>
        </w:rPr>
        <w:t>Методика • 19 направлений • 13 полей паспорта • 20 проверок</w:t>
      </w:r>
    </w:p>
    <w:p>
      <w:r>
        <w:rPr>
          <w:b w:val="0"/>
          <w:color w:val="586C78"/>
          <w:sz w:val="20"/>
        </w:rPr>
        <w:t>Рабочая концепция 1.0  |  17 сентября 2026 года</w:t>
      </w:r>
    </w:p>
    <w:p>
      <w:r>
        <w:rPr>
          <w:b w:val="0"/>
          <w:color w:val="586C78"/>
          <w:sz w:val="20"/>
        </w:rPr>
        <w:t>Эталон задается для результата, процесса или условий участия. Он не определяет ценность человека и не является обязательным образцом личности.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01 / НАЗНАЧЕНИЕ</w:t>
      </w:r>
    </w:p>
    <w:p>
      <w:pPr>
        <w:pStyle w:val="Heading1"/>
      </w:pPr>
      <w:r>
        <w:t>Что создает конструктор</w:t>
      </w:r>
    </w:p>
    <w:p>
      <w:r>
        <w:rPr>
          <w:b w:val="0"/>
        </w:rPr>
        <w:t>Конструктор идеального эталона — предлагаемый модуль ФЕНИКС, который помогает перевести личный или совместный замысел в описание результата, доступные действия и понятную процедуру проверки. Его выход — не красивый образ сам по себе, а рабочий паспорт с источниками, ресурсами и ответственными.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Ключевое правило</w:t>
            </w:r>
          </w:p>
          <w:p>
            <w:pPr>
              <w:spacing w:after="140"/>
            </w:pPr>
            <w:r>
              <w:rPr>
                <w:sz w:val="21"/>
              </w:rPr>
              <w:t>Сначала договориться, что считать результатом и как его проверять. Затем действовать. После проверки сохранить и удачный опыт, и ограничения.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937"/>
      </w:tblGrid>
      <w:tr>
        <w:trPr>
          <w:tblHeader/>
          <w:cantSplit/>
        </w:trPr>
        <w:tc>
          <w:tcPr>
            <w:tcW w:type="dxa" w:w="192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Параметр</w:t>
            </w:r>
          </w:p>
        </w:tc>
        <w:tc>
          <w:tcPr>
            <w:tcW w:type="dxa" w:w="7937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192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Назначение</w:t>
            </w:r>
          </w:p>
        </w:tc>
        <w:tc>
          <w:tcPr>
            <w:tcW w:type="dxa" w:w="793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Подготовка личного маршрута, учебного модуля, практического проекта, процесса или площадки.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Пользователь</w:t>
            </w:r>
          </w:p>
        </w:tc>
        <w:tc>
          <w:tcPr>
            <w:tcW w:type="dxa" w:w="793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Участник, наставник, руководитель проекта, куратор центра и проверяющий.</w:t>
            </w:r>
          </w:p>
        </w:tc>
      </w:tr>
      <w:tr>
        <w:trPr>
          <w:cantSplit/>
        </w:trPr>
        <w:tc>
          <w:tcPr>
            <w:tcW w:type="dxa" w:w="192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Вход</w:t>
            </w:r>
          </w:p>
        </w:tc>
        <w:tc>
          <w:tcPr>
            <w:tcW w:type="dxa" w:w="793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Подтвержденная потребность, исходное состояние, контекст и доступные ресурсы.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Выход</w:t>
            </w:r>
          </w:p>
        </w:tc>
        <w:tc>
          <w:tcPr>
            <w:tcW w:type="dxa" w:w="793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Паспорт M01–M13; критерии; маршрут; доказательства; протокол и версия эталона.</w:t>
            </w:r>
          </w:p>
        </w:tc>
      </w:tr>
      <w:tr>
        <w:trPr>
          <w:cantSplit/>
        </w:trPr>
        <w:tc>
          <w:tcPr>
            <w:tcW w:type="dxa" w:w="192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Статус</w:t>
            </w:r>
          </w:p>
        </w:tc>
        <w:tc>
          <w:tcPr>
            <w:tcW w:type="dxa" w:w="793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Рабочая концепция, а не утвержденный норматив, лицензия, сертификат или государственная программа.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Преемственность</w:t>
            </w:r>
          </w:p>
        </w:tc>
        <w:tc>
          <w:tcPr>
            <w:tcW w:type="dxa" w:w="793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Сохранены D01–D19 и P01–P13 из «ФЕНИКС — Эволюционная система», v1.0.</w:t>
            </w:r>
          </w:p>
        </w:tc>
      </w:tr>
    </w:tbl>
    <w:p>
      <w:pPr>
        <w:spacing w:after="20"/>
      </w:pPr>
    </w:p>
    <w:p>
      <w:pPr>
        <w:pStyle w:val="Heading2"/>
      </w:pPr>
      <w:r>
        <w:t>Как пользоваться документом</w:t>
      </w:r>
    </w:p>
    <w:p>
      <w:r>
        <w:rPr>
          <w:b w:val="0"/>
        </w:rPr>
        <w:t>Сначала прочитайте определения и правила участия. Затем выберите объект и направление, заполните 13 полей, составьте критерии и пройдите 20 проверок. Практические примеры показывают, как отделять намерение от доказанного результата. В конце размещены рабочие формы и источники.</w:t>
      </w:r>
    </w:p>
    <w:p>
      <w:r>
        <w:rPr>
          <w:b w:val="0"/>
          <w:color w:val="586C78"/>
          <w:sz w:val="20"/>
        </w:rPr>
        <w:t>Числа, сроки, примеры требований и правила внутренней приемки в этом модуле являются проектными предложениями. Роли, площадки, финансирование и применение конкретных методов согласуются отдельно.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02 / СМЫСЛ ЭТАЛОНА</w:t>
      </w:r>
    </w:p>
    <w:p>
      <w:pPr>
        <w:pStyle w:val="Heading1"/>
      </w:pPr>
      <w:r>
        <w:t>Идеальный образ — ориентир, а не обещание</w:t>
      </w:r>
    </w:p>
    <w:p>
      <w:r>
        <w:rPr>
          <w:b w:val="0"/>
        </w:rPr>
        <w:t>«Идеальный» в этой концепции означает ясно выраженное желаемое качество в определенном контексте. Это не утверждение о существовании единственного совершенного решения для всех людей, территорий и условий. Рабочий эталон выбирается под потребность и может изменяться после проверки.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4592"/>
        <w:gridCol w:w="3572"/>
      </w:tblGrid>
      <w:tr>
        <w:trPr>
          <w:tblHeader/>
          <w:cantSplit/>
        </w:trPr>
        <w:tc>
          <w:tcPr>
            <w:tcW w:type="dxa" w:w="170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Понятие</w:t>
            </w:r>
          </w:p>
        </w:tc>
        <w:tc>
          <w:tcPr>
            <w:tcW w:type="dxa" w:w="4592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Рабочее значение</w:t>
            </w:r>
          </w:p>
        </w:tc>
        <w:tc>
          <w:tcPr>
            <w:tcW w:type="dxa" w:w="3572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Пример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Идеальный образ</w:t>
            </w:r>
          </w:p>
        </w:tc>
        <w:tc>
          <w:tcPr>
            <w:tcW w:type="dxa" w:w="459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Качественное описание желаемой пользы без подмены фактом.</w:t>
            </w:r>
          </w:p>
        </w:tc>
        <w:tc>
          <w:tcPr>
            <w:tcW w:type="dxa" w:w="357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Человек самостоятельно понимает учет энергии своей площадки.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Рабочий эталон</w:t>
            </w:r>
          </w:p>
        </w:tc>
        <w:tc>
          <w:tcPr>
            <w:tcW w:type="dxa" w:w="4592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Согласованные требования, ограничения, критерии и методы проверки версии проекта.</w:t>
            </w:r>
          </w:p>
        </w:tc>
        <w:tc>
          <w:tcPr>
            <w:tcW w:type="dxa" w:w="3572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Журнал без необъясненных пропусков; воспроизводимый расчет; указанные ограничения.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Фактический результат</w:t>
            </w:r>
          </w:p>
        </w:tc>
        <w:tc>
          <w:tcPr>
            <w:tcW w:type="dxa" w:w="459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Наблюдаемые данные и выполненная работа с датой и условиями.</w:t>
            </w:r>
          </w:p>
        </w:tc>
        <w:tc>
          <w:tcPr>
            <w:tcW w:type="dxa" w:w="357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Получен журнал; две строки требуют уточнения; расчет проверен.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Нормативное требование</w:t>
            </w:r>
          </w:p>
        </w:tc>
        <w:tc>
          <w:tcPr>
            <w:tcW w:type="dxa" w:w="4592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Обязательное правило из применимого источника права, проверяемое отдельно.</w:t>
            </w:r>
          </w:p>
        </w:tc>
        <w:tc>
          <w:tcPr>
            <w:tcW w:type="dxa" w:w="3572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Требования по деятельности, безопасности и данным устанавливаются не названием проекта.</w:t>
            </w:r>
          </w:p>
        </w:tc>
      </w:tr>
    </w:tbl>
    <w:p>
      <w:pPr>
        <w:spacing w:after="20"/>
      </w:pPr>
    </w:p>
    <w:p>
      <w:pPr>
        <w:pStyle w:val="Heading2"/>
      </w:pPr>
      <w:r>
        <w:t>Почему важно различать значения</w:t>
      </w:r>
    </w:p>
    <w:p>
      <w:r>
        <w:rPr>
          <w:b w:val="0"/>
        </w:rPr>
        <w:t>В метрологии эталон связан с реализацией определения величины, значением и неопределенностью. Здесь употребляется иной термин — «проектный эталон результата». Карточка ФЕНИКС не создает государственный эталон и не удостоверяет измерительную систему. [S03, S09]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Граница вывода</w:t>
            </w:r>
          </w:p>
          <w:p>
            <w:pPr>
              <w:spacing w:after="140"/>
            </w:pPr>
            <w:r>
              <w:rPr>
                <w:sz w:val="21"/>
              </w:rPr>
              <w:t>«Соответствует версии эталона v1.0 в описанных условиях» — допустимая форма внутреннего вывода. «Идеально во всем» и «пригодно для любого применения» — не выводы этой системы.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03 / ЧЕЛОВЕК В ЦЕНТРЕ</w:t>
      </w:r>
    </w:p>
    <w:p>
      <w:pPr>
        <w:pStyle w:val="Heading1"/>
      </w:pPr>
      <w:r>
        <w:t>Эталон условий, а не рейтинг людей</w:t>
      </w:r>
    </w:p>
    <w:p>
      <w:r>
        <w:rPr>
          <w:b w:val="0"/>
        </w:rPr>
        <w:t>Человек выбирает цель и допустимую нагрузку. У программы можно проверять доступность, безопасность, поддержку и качество обратной связи; у выполненной работы — конкретные требования. Убеждения, достоинство и право участия не переводятся в общий балл «соответствия идеалу».</w:t>
      </w:r>
    </w:p>
    <w:p>
      <w:r>
        <w:rPr>
          <w:b w:val="0"/>
        </w:rPr>
        <w:t>Сохраняются 13 личных контуров предыдущей программы. Это меню выбора, а не обязательная лестница развития. В одном цикле достаточно одного основного и одного поддерживающего контура.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4224"/>
        <w:gridCol w:w="709"/>
        <w:gridCol w:w="4224"/>
      </w:tblGrid>
      <w:tr>
        <w:trPr>
          <w:tblHeader/>
          <w:cantSplit/>
        </w:trPr>
        <w:tc>
          <w:tcPr>
            <w:tcW w:type="dxa" w:w="70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422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Контур</w:t>
            </w:r>
          </w:p>
        </w:tc>
        <w:tc>
          <w:tcPr>
            <w:tcW w:type="dxa" w:w="70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Код</w:t>
            </w:r>
          </w:p>
        </w:tc>
        <w:tc>
          <w:tcPr>
            <w:tcW w:type="dxa" w:w="422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Контур</w:t>
            </w:r>
          </w:p>
        </w:tc>
      </w:tr>
      <w:tr>
        <w:trPr>
          <w:cantSplit/>
        </w:trPr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P01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Здоровье</w:t>
            </w:r>
          </w:p>
        </w:tc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P08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Экономика и финансовая самостоятельность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P02</w:t>
            </w:r>
          </w:p>
        </w:tc>
        <w:tc>
          <w:tcPr>
            <w:tcW w:type="dxa" w:w="42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Сознание</w:t>
            </w:r>
          </w:p>
        </w:tc>
        <w:tc>
          <w:tcPr>
            <w:tcW w:type="dxa" w:w="70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P09</w:t>
            </w:r>
          </w:p>
        </w:tc>
        <w:tc>
          <w:tcPr>
            <w:tcW w:type="dxa" w:w="42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Семья и общины</w:t>
            </w:r>
          </w:p>
        </w:tc>
      </w:tr>
      <w:tr>
        <w:trPr>
          <w:cantSplit/>
        </w:trPr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P03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Разум</w:t>
            </w:r>
          </w:p>
        </w:tc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P10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Творчество и культура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P04</w:t>
            </w:r>
          </w:p>
        </w:tc>
        <w:tc>
          <w:tcPr>
            <w:tcW w:type="dxa" w:w="42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Эмоции</w:t>
            </w:r>
          </w:p>
        </w:tc>
        <w:tc>
          <w:tcPr>
            <w:tcW w:type="dxa" w:w="70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P11</w:t>
            </w:r>
          </w:p>
        </w:tc>
        <w:tc>
          <w:tcPr>
            <w:tcW w:type="dxa" w:w="42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Природа и служение Земле</w:t>
            </w:r>
          </w:p>
        </w:tc>
      </w:tr>
      <w:tr>
        <w:trPr>
          <w:cantSplit/>
        </w:trPr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P05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Навыки</w:t>
            </w:r>
          </w:p>
        </w:tc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P12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Духовность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P06</w:t>
            </w:r>
          </w:p>
        </w:tc>
        <w:tc>
          <w:tcPr>
            <w:tcW w:type="dxa" w:w="42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Образование</w:t>
            </w:r>
          </w:p>
        </w:tc>
        <w:tc>
          <w:tcPr>
            <w:tcW w:type="dxa" w:w="70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P13</w:t>
            </w:r>
          </w:p>
        </w:tc>
        <w:tc>
          <w:tcPr>
            <w:tcW w:type="dxa" w:w="42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Смысл и миссия жизни</w:t>
            </w:r>
          </w:p>
        </w:tc>
      </w:tr>
      <w:tr>
        <w:trPr>
          <w:cantSplit/>
        </w:trPr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P07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Труд и мастерство</w:t>
            </w:r>
          </w:p>
        </w:tc>
        <w:tc>
          <w:tcPr>
            <w:tcW w:type="dxa" w:w="70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—</w:t>
            </w:r>
          </w:p>
        </w:tc>
        <w:tc>
          <w:tcPr>
            <w:tcW w:type="dxa" w:w="42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Правила, которые предлагается закрепить</w:t>
      </w:r>
    </w:p>
    <w:p>
      <w:r>
        <w:rPr>
          <w:b w:val="0"/>
        </w:rPr>
        <w:t>Участник может отказаться от задания, изменить цель, запросить адаптацию и выйти. Личный маршрут закрыт по умолчанию; публикация работы и имени согласуется отдельно. Не требуется раскрывать медицинскую историю, семейные обстоятельства, политические или религиозные взгляды.</w:t>
      </w:r>
    </w:p>
    <w:p>
      <w:r>
        <w:rPr>
          <w:b w:val="0"/>
        </w:rPr>
        <w:t>Проверка должна объяснять, какое условие работы не выполнено и какая помощь нужна. Формулировка «недостаточно данных» предпочтительнее неподтвержденного заключения о человеке. Разногласие с проверяющим рассматривается другим ответственным.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Три разные системы обозначений</w:t>
            </w:r>
          </w:p>
          <w:p>
            <w:pPr>
              <w:spacing w:after="140"/>
            </w:pPr>
            <w:r>
              <w:rPr>
                <w:sz w:val="21"/>
              </w:rPr>
              <w:t>P01–P13 — личные контуры. M01–M13 — поля паспорта. D01–D19 — направления практики. Совпадение количества полей не делает эти списки взаимозаменяемыми.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04 / АРХИТЕКТУРА</w:t>
      </w:r>
    </w:p>
    <w:p>
      <w:pPr>
        <w:pStyle w:val="Heading1"/>
      </w:pPr>
      <w:r>
        <w:t>Три слоя одного объекта</w:t>
      </w:r>
    </w:p>
    <w:p>
      <w:r>
        <w:rPr>
          <w:b w:val="0"/>
        </w:rPr>
        <w:t>Для каждого объекта сохраняются три связанных, но раздельных слоя. Пользователь всегда видит, что было намерением, что согласовали для выполнения и что действительно получилось.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4989"/>
        <w:gridCol w:w="3345"/>
      </w:tblGrid>
      <w:tr>
        <w:trPr>
          <w:tblHeader/>
          <w:cantSplit/>
        </w:trPr>
        <w:tc>
          <w:tcPr>
            <w:tcW w:type="dxa" w:w="153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Слой</w:t>
            </w:r>
          </w:p>
        </w:tc>
        <w:tc>
          <w:tcPr>
            <w:tcW w:type="dxa" w:w="498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в нем хранится</w:t>
            </w:r>
          </w:p>
        </w:tc>
        <w:tc>
          <w:tcPr>
            <w:tcW w:type="dxa" w:w="334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запрещено подменять</w:t>
            </w:r>
          </w:p>
        </w:tc>
      </w:tr>
      <w:tr>
        <w:trPr>
          <w:cantSplit/>
        </w:trPr>
        <w:tc>
          <w:tcPr>
            <w:tcW w:type="dxa" w:w="153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A. Образ</w:t>
            </w:r>
          </w:p>
        </w:tc>
        <w:tc>
          <w:tcPr>
            <w:tcW w:type="dxa" w:w="498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Потребность; желаемая польза; ограничения; альтернативные варианты.</w:t>
            </w:r>
          </w:p>
        </w:tc>
        <w:tc>
          <w:tcPr>
            <w:tcW w:type="dxa" w:w="334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Желаемый эффект нельзя выдавать за достигнутый.</w:t>
            </w:r>
          </w:p>
        </w:tc>
      </w:tr>
      <w:tr>
        <w:trPr>
          <w:cantSplit/>
        </w:trPr>
        <w:tc>
          <w:tcPr>
            <w:tcW w:type="dxa" w:w="153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B. Эталон</w:t>
            </w:r>
          </w:p>
        </w:tc>
        <w:tc>
          <w:tcPr>
            <w:tcW w:type="dxa" w:w="498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Требования; методика; исходное состояние; целевые значения; срок и ответственное решение.</w:t>
            </w:r>
          </w:p>
        </w:tc>
        <w:tc>
          <w:tcPr>
            <w:tcW w:type="dxa" w:w="334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После получения результата нельзя незаметно менять критерий.</w:t>
            </w:r>
          </w:p>
        </w:tc>
      </w:tr>
      <w:tr>
        <w:trPr>
          <w:cantSplit/>
        </w:trPr>
        <w:tc>
          <w:tcPr>
            <w:tcW w:type="dxa" w:w="153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C. Факт</w:t>
            </w:r>
          </w:p>
        </w:tc>
        <w:tc>
          <w:tcPr>
            <w:tcW w:type="dxa" w:w="498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Данные; выполненная работа; затраты; побочные эффекты; доказательства; решение приемки.</w:t>
            </w:r>
          </w:p>
        </w:tc>
        <w:tc>
          <w:tcPr>
            <w:tcW w:type="dxa" w:w="334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Отсутствующие данные нельзя записывать как ноль или успех.</w:t>
            </w:r>
          </w:p>
        </w:tc>
      </w:tr>
    </w:tbl>
    <w:p>
      <w:pPr>
        <w:spacing w:after="20"/>
      </w:pPr>
    </w:p>
    <w:p>
      <w:pPr>
        <w:pStyle w:val="Heading2"/>
      </w:pPr>
      <w:r>
        <w:t>Объекты конструктора</w:t>
      </w:r>
    </w:p>
    <w:p>
      <w:r>
        <w:rPr>
          <w:b w:val="0"/>
        </w:rPr>
        <w:t>Личный маршрут описывает выбранное умение. Учебный модуль описывает содержание, поддержку и проверку освоения. Практический проект связывает результат с ресурсами. Процесс задает повторяемую последовательность работы. Площадка описывает условия использования. Территориальная задача объединяет несколько проектов без подмены их разнородных результатов одним числом.</w:t>
      </w:r>
    </w:p>
    <w:p>
      <w:pPr>
        <w:pStyle w:val="Heading2"/>
      </w:pPr>
      <w:r>
        <w:t>Связь со «Знаниями и энергией»</w:t>
      </w:r>
    </w:p>
    <w:p>
      <w:r>
        <w:rPr>
          <w:b w:val="0"/>
        </w:rPr>
        <w:t>Знания отвечают на вопросы «что делать, почему и как проверить». Ресурсы отвечают на вопрос «чем обеспечить действие». Отдельно записываются время и внимание человека, совместная организационная работа, электричество и тепло. Эти величины не конвертируются друг в друга произвольным коэффициентом.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Короткая запись</w:t>
            </w:r>
          </w:p>
          <w:p>
            <w:pPr>
              <w:spacing w:after="140"/>
            </w:pPr>
            <w:r>
              <w:rPr>
                <w:sz w:val="21"/>
              </w:rPr>
              <w:t>Потребность → образ → рабочий эталон → доступное действие → факт → проверка → следующая версия.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05 / ЦИКЛ СОЗДАНИЯ</w:t>
      </w:r>
    </w:p>
    <w:p>
      <w:pPr>
        <w:pStyle w:val="Heading1"/>
      </w:pPr>
      <w:r>
        <w:t>Восемь шагов и пять этапов ФЕНИКС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0"/>
        <w:gridCol w:w="4535"/>
        <w:gridCol w:w="4649"/>
      </w:tblGrid>
      <w:tr>
        <w:trPr>
          <w:tblHeader/>
          <w:cantSplit/>
        </w:trPr>
        <w:tc>
          <w:tcPr>
            <w:tcW w:type="dxa" w:w="680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Шаг</w:t>
            </w:r>
          </w:p>
        </w:tc>
        <w:tc>
          <w:tcPr>
            <w:tcW w:type="dxa" w:w="453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Действие</w:t>
            </w:r>
          </w:p>
        </w:tc>
        <w:tc>
          <w:tcPr>
            <w:tcW w:type="dxa" w:w="464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Выход</w:t>
            </w:r>
          </w:p>
        </w:tc>
      </w:tr>
      <w:tr>
        <w:trPr>
          <w:cantSplit/>
        </w:trPr>
        <w:tc>
          <w:tcPr>
            <w:tcW w:type="dxa" w:w="68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type="dxa" w:w="45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Уточнить потребность и владельца задачи.</w:t>
            </w:r>
          </w:p>
        </w:tc>
        <w:tc>
          <w:tcPr>
            <w:tcW w:type="dxa" w:w="464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Одна понятная задача и согласие на участие.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2</w:t>
            </w:r>
          </w:p>
        </w:tc>
        <w:tc>
          <w:tcPr>
            <w:tcW w:type="dxa" w:w="45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Определить объект и исходные условия.</w:t>
            </w:r>
          </w:p>
        </w:tc>
        <w:tc>
          <w:tcPr>
            <w:tcW w:type="dxa" w:w="464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Граница применения и исходное описание.</w:t>
            </w:r>
          </w:p>
        </w:tc>
      </w:tr>
      <w:tr>
        <w:trPr>
          <w:cantSplit/>
        </w:trPr>
        <w:tc>
          <w:tcPr>
            <w:tcW w:type="dxa" w:w="68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type="dxa" w:w="45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Описать желаемую пользу и альтернативы.</w:t>
            </w:r>
          </w:p>
        </w:tc>
        <w:tc>
          <w:tcPr>
            <w:tcW w:type="dxa" w:w="464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Образ результата без обещания эффекта.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type="dxa" w:w="45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Задать требования и способ проверки.</w:t>
            </w:r>
          </w:p>
        </w:tc>
        <w:tc>
          <w:tcPr>
            <w:tcW w:type="dxa" w:w="464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Рабочий эталон до начала испытания.</w:t>
            </w:r>
          </w:p>
        </w:tc>
      </w:tr>
      <w:tr>
        <w:trPr>
          <w:cantSplit/>
        </w:trPr>
        <w:tc>
          <w:tcPr>
            <w:tcW w:type="dxa" w:w="68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type="dxa" w:w="45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Проверить ресурсы, право и безопасность.</w:t>
            </w:r>
          </w:p>
        </w:tc>
        <w:tc>
          <w:tcPr>
            <w:tcW w:type="dxa" w:w="464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Решение о допуске или перечень препятствий.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type="dxa" w:w="45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Выполнить ограниченную практическую работу.</w:t>
            </w:r>
          </w:p>
        </w:tc>
        <w:tc>
          <w:tcPr>
            <w:tcW w:type="dxa" w:w="464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Журнал, образец, фактические расходы.</w:t>
            </w:r>
          </w:p>
        </w:tc>
      </w:tr>
      <w:tr>
        <w:trPr>
          <w:cantSplit/>
        </w:trPr>
        <w:tc>
          <w:tcPr>
            <w:tcW w:type="dxa" w:w="68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type="dxa" w:w="45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Сопоставить факт с требованиями и запросом.</w:t>
            </w:r>
          </w:p>
        </w:tc>
        <w:tc>
          <w:tcPr>
            <w:tcW w:type="dxa" w:w="464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Статус по каждому критерию и ограничения.</w:t>
            </w:r>
          </w:p>
        </w:tc>
      </w:tr>
      <w:tr>
        <w:trPr>
          <w:cantSplit/>
        </w:trPr>
        <w:tc>
          <w:tcPr>
            <w:tcW w:type="dxa" w:w="68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type="dxa" w:w="45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Сохранить опыт и согласовать новую версию.</w:t>
            </w:r>
          </w:p>
        </w:tc>
        <w:tc>
          <w:tcPr>
            <w:tcW w:type="dxa" w:w="464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Архив, изменение, повтор или завершение.</w:t>
            </w:r>
          </w:p>
        </w:tc>
      </w:tr>
    </w:tbl>
    <w:p>
      <w:pPr>
        <w:spacing w:after="20"/>
      </w:pPr>
    </w:p>
    <w:p>
      <w:pPr>
        <w:pStyle w:val="Heading2"/>
      </w:pPr>
      <w:r>
        <w:t>Символический цикл программы</w:t>
      </w:r>
    </w:p>
    <w:p>
      <w:r>
        <w:rPr>
          <w:b w:val="0"/>
        </w:rPr>
        <w:t>Искра — выбор задачи и образа. Пламя — обучение, подготовка и практика. Пепел — разбор данных и отказ от неработающего. Вознесение — повтор с учетом замечаний и подтверждение результата. Полёт — добровольная передача проверенного опыта. Это язык организационной модели, а не оценка внутреннего состояния человека.</w:t>
      </w:r>
    </w:p>
    <w:p>
      <w:pPr>
        <w:pStyle w:val="Heading2"/>
      </w:pPr>
      <w:r>
        <w:t>Условие перехода</w:t>
      </w:r>
    </w:p>
    <w:p>
      <w:r>
        <w:rPr>
          <w:b w:val="0"/>
        </w:rPr>
        <w:t>На контрольной точке проверяются понятность задачи, доступность ресурсов и безопасность продолжения. Возврат к предыдущему шагу допускается. При изменении границ, метода или критерия создается новая версия, а первоначальный протокол остается доступным проверяющему.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06 / ЕДИНЫЙ ПАСПОРТ</w:t>
      </w:r>
    </w:p>
    <w:p>
      <w:pPr>
        <w:pStyle w:val="Heading1"/>
      </w:pPr>
      <w:r>
        <w:t>13 полей: смысл и требования</w:t>
      </w:r>
    </w:p>
    <w:p>
      <w:r>
        <w:rPr>
          <w:b w:val="0"/>
        </w:rPr>
        <w:t>Паспорт сохраняет последовательность 13 разделов из предыдущей программы ФЕНИКС. В этом модуле раздел M07 раскрывается через три слоя — образ, рабочий эталон и факт. Детальные показатели оформляются приложениями, чтобы не перегружать основную карточку.</w:t>
      </w:r>
    </w:p>
    <w:p>
      <w:pPr>
        <w:pStyle w:val="Heading2"/>
      </w:pPr>
      <w:r>
        <w:t>M01 / Идентификация</w:t>
      </w:r>
    </w:p>
    <w:p>
      <w:r>
        <w:rPr>
          <w:b w:val="0"/>
        </w:rPr>
        <w:t>Название, код, версия, дата и статус эталона. Как отличить эту редакцию от предыдущей?</w:t>
      </w:r>
    </w:p>
    <w:p>
      <w:r>
        <w:rPr>
          <w:b w:val="0"/>
          <w:color w:val="586C78"/>
          <w:sz w:val="19"/>
        </w:rPr>
        <w:t>Пример: FEN-ET-D02-001 / v0.1 / проект.</w:t>
      </w:r>
    </w:p>
    <w:p>
      <w:pPr>
        <w:pStyle w:val="Heading2"/>
      </w:pPr>
      <w:r>
        <w:t>M02 / Потребность</w:t>
      </w:r>
    </w:p>
    <w:p>
      <w:r>
        <w:rPr>
          <w:b w:val="0"/>
        </w:rPr>
        <w:t>Чья задача решается, какую пользу ожидают и чем подтвержден запрос. Результат нужен участнику или только организатору?</w:t>
      </w:r>
    </w:p>
    <w:p>
      <w:r>
        <w:rPr>
          <w:b w:val="0"/>
          <w:color w:val="586C78"/>
          <w:sz w:val="19"/>
        </w:rPr>
        <w:t>Пример: Участники хотят самостоятельно вести журнал энергопотребления.</w:t>
      </w:r>
    </w:p>
    <w:p>
      <w:pPr>
        <w:pStyle w:val="Heading2"/>
      </w:pPr>
      <w:r>
        <w:t>M03 / Участники</w:t>
      </w:r>
    </w:p>
    <w:p>
      <w:r>
        <w:rPr>
          <w:b w:val="0"/>
        </w:rPr>
        <w:t>Оператор, владелец задачи, исполнители, наставник и проверяющий. Кто вправе согласовать цель и кто принимает работу?</w:t>
      </w:r>
    </w:p>
    <w:p>
      <w:r>
        <w:rPr>
          <w:b w:val="0"/>
          <w:color w:val="586C78"/>
          <w:sz w:val="19"/>
        </w:rPr>
        <w:t>Пример: Куратор площадки; наставник; проверяющий, не автор расчета.</w:t>
      </w:r>
    </w:p>
    <w:p>
      <w:pPr>
        <w:pStyle w:val="Heading2"/>
      </w:pPr>
      <w:r>
        <w:t>M04 / Границы</w:t>
      </w:r>
    </w:p>
    <w:p>
      <w:r>
        <w:rPr>
          <w:b w:val="0"/>
        </w:rPr>
        <w:t>Объект, территория, группа, период, условия использования и исключения. Где эталон применим, а где вывод переносить нельзя?</w:t>
      </w:r>
    </w:p>
    <w:p>
      <w:r>
        <w:rPr>
          <w:b w:val="0"/>
          <w:color w:val="586C78"/>
          <w:sz w:val="19"/>
        </w:rPr>
        <w:t>Пример: Одна мастерская; только чтение разрешенных данных; 12 недель.</w:t>
      </w:r>
    </w:p>
    <w:p>
      <w:pPr>
        <w:pStyle w:val="Heading2"/>
      </w:pPr>
      <w:r>
        <w:t>M05 / Направления</w:t>
      </w:r>
    </w:p>
    <w:p>
      <w:r>
        <w:rPr>
          <w:b w:val="0"/>
        </w:rPr>
        <w:t>Один основной D01–D19, связанные направления и выбранные личные контуры P01–P13. Какие связи действительно меняют проект?</w:t>
      </w:r>
    </w:p>
    <w:p>
      <w:r>
        <w:rPr>
          <w:b w:val="0"/>
          <w:color w:val="586C78"/>
          <w:sz w:val="19"/>
        </w:rPr>
        <w:t>Пример: D02; связи D09, D15, D18; личные P03, P05.</w:t>
      </w:r>
    </w:p>
    <w:p>
      <w:pPr>
        <w:pStyle w:val="Heading2"/>
      </w:pPr>
      <w:r>
        <w:t>M06 / Знания</w:t>
      </w:r>
    </w:p>
    <w:p>
      <w:r>
        <w:rPr>
          <w:b w:val="0"/>
        </w:rPr>
        <w:t>Нужные умения, источники, методика, наставничество и права на материалы. Можно ли понять и повторить действие по этой инструкции?</w:t>
      </w:r>
    </w:p>
    <w:p>
      <w:r>
        <w:rPr>
          <w:b w:val="0"/>
          <w:color w:val="586C78"/>
          <w:sz w:val="19"/>
        </w:rPr>
        <w:t>Пример: Единицы энергии; журнал; инструкция; карточки источников.</w:t>
      </w:r>
    </w:p>
    <w:p>
      <w:pPr>
        <w:pStyle w:val="Heading2"/>
      </w:pPr>
      <w:r>
        <w:t>M07 / Результат</w:t>
      </w:r>
    </w:p>
    <w:p>
      <w:r>
        <w:rPr>
          <w:b w:val="0"/>
        </w:rPr>
        <w:t>Идеальный образ, рабочий эталон, исходное состояние и критерии приемки. Что именно предъявят и чем подтвердят достижение?</w:t>
      </w:r>
    </w:p>
    <w:p>
      <w:r>
        <w:rPr>
          <w:b w:val="0"/>
          <w:color w:val="586C78"/>
          <w:sz w:val="19"/>
        </w:rPr>
        <w:t>Пример: Журнал, воспроизводимый расчет и объяснение ограничений.</w:t>
      </w:r>
    </w:p>
    <w:p>
      <w:r>
        <w:rPr>
          <w:b w:val="0"/>
          <w:color w:val="586C78"/>
          <w:sz w:val="20"/>
        </w:rPr>
        <w:t>Для короткого проекта достаточно краткого ответа в каждом поле и ссылки на приложение. Пустое поле отмечается как «не определено», а неприменимость объясняется.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07 / ЕДИНЫЙ ПАСПОРТ</w:t>
      </w:r>
    </w:p>
    <w:p>
      <w:pPr>
        <w:pStyle w:val="Heading1"/>
      </w:pPr>
      <w:r>
        <w:t>13 полей: выполнение и приемка</w:t>
      </w:r>
    </w:p>
    <w:p>
      <w:pPr>
        <w:pStyle w:val="Heading2"/>
      </w:pPr>
      <w:r>
        <w:t>M08 / План</w:t>
      </w:r>
    </w:p>
    <w:p>
      <w:r>
        <w:rPr>
          <w:b w:val="0"/>
        </w:rPr>
        <w:t>Шаги, сроки, контрольные точки, зависимости и условия перехода. Какой ближайший шаг выполним при доступных ресурсах?</w:t>
      </w:r>
    </w:p>
    <w:p>
      <w:r>
        <w:rPr>
          <w:b w:val="0"/>
          <w:color w:val="586C78"/>
          <w:sz w:val="19"/>
        </w:rPr>
        <w:t>Пример: Согласовать данные → обучиться → собрать журнал → проверить.</w:t>
      </w:r>
    </w:p>
    <w:p>
      <w:pPr>
        <w:pStyle w:val="Heading2"/>
      </w:pPr>
      <w:r>
        <w:t>M09 / Ресурсы</w:t>
      </w:r>
    </w:p>
    <w:p>
      <w:r>
        <w:rPr>
          <w:b w:val="0"/>
        </w:rPr>
        <w:t>Время людей, площадка, материалы, оборудование и физическая энергия раздельно. Подтверждено ли наличие ресурса на нужный период?</w:t>
      </w:r>
    </w:p>
    <w:p>
      <w:r>
        <w:rPr>
          <w:b w:val="0"/>
          <w:color w:val="586C78"/>
          <w:sz w:val="19"/>
        </w:rPr>
        <w:t>Пример: Наставник, рабочее место, компьютер или бумажная форма.</w:t>
      </w:r>
    </w:p>
    <w:p>
      <w:pPr>
        <w:pStyle w:val="Heading2"/>
      </w:pPr>
      <w:r>
        <w:t>M10 / Финансирование</w:t>
      </w:r>
    </w:p>
    <w:p>
      <w:r>
        <w:rPr>
          <w:b w:val="0"/>
        </w:rPr>
        <w:t>План и факт расходов, источник, полномочия расходования и документы. Какие суммы являются подтвержденными, а какие расчетными?</w:t>
      </w:r>
    </w:p>
    <w:p>
      <w:r>
        <w:rPr>
          <w:b w:val="0"/>
          <w:color w:val="586C78"/>
          <w:sz w:val="19"/>
        </w:rPr>
        <w:t>Пример: Лимит согласуется в смете пилота; полученные деньги не предполагаются.</w:t>
      </w:r>
    </w:p>
    <w:p>
      <w:pPr>
        <w:pStyle w:val="Heading2"/>
      </w:pPr>
      <w:r>
        <w:t>M11 / Право и безопасность</w:t>
      </w:r>
    </w:p>
    <w:p>
      <w:r>
        <w:rPr>
          <w:b w:val="0"/>
        </w:rPr>
        <w:t>Основания работ, доступность, риски, допуски и критерии остановки. Что запрещает продолжение независимо от ожидаемой пользы?</w:t>
      </w:r>
    </w:p>
    <w:p>
      <w:r>
        <w:rPr>
          <w:b w:val="0"/>
          <w:color w:val="586C78"/>
          <w:sz w:val="19"/>
        </w:rPr>
        <w:t>Пример: Нет вмешательства в электроустановку; при опасности работа прекращается.</w:t>
      </w:r>
    </w:p>
    <w:p>
      <w:pPr>
        <w:pStyle w:val="Heading2"/>
      </w:pPr>
      <w:r>
        <w:t>M12 / Данные и доказательства</w:t>
      </w:r>
    </w:p>
    <w:p>
      <w:r>
        <w:rPr>
          <w:b w:val="0"/>
        </w:rPr>
        <w:t>Источники, единицы, методы, качество, доступ, хранение и ограничения вывода. Достаточно ли данных для заявленного результата?</w:t>
      </w:r>
    </w:p>
    <w:p>
      <w:r>
        <w:rPr>
          <w:b w:val="0"/>
          <w:color w:val="586C78"/>
          <w:sz w:val="19"/>
        </w:rPr>
        <w:t>Пример: Первичный журнал, версия расчета, акт проверки, список пропусков.</w:t>
      </w:r>
    </w:p>
    <w:p>
      <w:pPr>
        <w:pStyle w:val="Heading2"/>
      </w:pPr>
      <w:r>
        <w:t>M13 / Приемка и продолжение</w:t>
      </w:r>
    </w:p>
    <w:p>
      <w:r>
        <w:rPr>
          <w:b w:val="0"/>
        </w:rPr>
        <w:t>Кто проверил, что принято, что не доказано, срок пересмотра и следующий цикл. Какие основания позволяют применить или обновить эталон?</w:t>
      </w:r>
    </w:p>
    <w:p>
      <w:r>
        <w:rPr>
          <w:b w:val="0"/>
          <w:color w:val="586C78"/>
          <w:sz w:val="19"/>
        </w:rPr>
        <w:t>Пример: Статус по каждому критерию; замечания; ответственный и новая дата.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Правило полноты</w:t>
            </w:r>
          </w:p>
          <w:p>
            <w:pPr>
              <w:spacing w:after="140"/>
            </w:pPr>
            <w:r>
              <w:rPr>
                <w:sz w:val="21"/>
              </w:rPr>
              <w:t>Заполненный паспорт еще не означает разрешение на работы. Критические условия должны быть подтверждены, а не только перечислены. При отсутствии правового основания, допуска или безопасного метода исполнение не начинается.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08 / ТРЕБОВАНИЯ</w:t>
      </w:r>
    </w:p>
    <w:p>
      <w:pPr>
        <w:pStyle w:val="Heading1"/>
      </w:pPr>
      <w:r>
        <w:t>Как описать проверяемый критерий</w:t>
      </w:r>
    </w:p>
    <w:p>
      <w:r>
        <w:rPr>
          <w:b w:val="0"/>
        </w:rPr>
        <w:t>Формат критерия: объект + наблюдаемое действие или свойство + единица либо описательная рубрика + порог + условия + срок + метод + правило решения. Не каждое полезное качество нужно выражать числом, но каждый вывод требует объяснимого основания.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35"/>
        <w:gridCol w:w="7030"/>
      </w:tblGrid>
      <w:tr>
        <w:trPr>
          <w:tblHeader/>
          <w:cantSplit/>
        </w:trPr>
        <w:tc>
          <w:tcPr>
            <w:tcW w:type="dxa" w:w="283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Слабая формулировка</w:t>
            </w:r>
          </w:p>
        </w:tc>
        <w:tc>
          <w:tcPr>
            <w:tcW w:type="dxa" w:w="7030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Рабочая формулировка</w:t>
            </w:r>
          </w:p>
        </w:tc>
      </w:tr>
      <w:tr>
        <w:trPr>
          <w:cantSplit/>
        </w:trPr>
        <w:tc>
          <w:tcPr>
            <w:tcW w:type="dxa" w:w="28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«Качественное обучение»</w:t>
            </w:r>
          </w:p>
        </w:tc>
        <w:tc>
          <w:tcPr>
            <w:tcW w:type="dxa" w:w="703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Участник самостоятельно заполняет учебный журнал, выполняет расчет и объясняет два ограничения данных по заранее выданному листу критериев.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«Энергия используется идеально»</w:t>
            </w:r>
          </w:p>
        </w:tc>
        <w:tc>
          <w:tcPr>
            <w:tcW w:type="dxa" w:w="703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Удельное потребление за согласованный период не выше целевого значения при сопоставимом режиме; безопасность и качество условий не ухудшены.</w:t>
            </w:r>
          </w:p>
        </w:tc>
      </w:tr>
      <w:tr>
        <w:trPr>
          <w:cantSplit/>
        </w:trPr>
        <w:tc>
          <w:tcPr>
            <w:tcW w:type="dxa" w:w="28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«База знаний полная»</w:t>
            </w:r>
          </w:p>
        </w:tc>
        <w:tc>
          <w:tcPr>
            <w:tcW w:type="dxa" w:w="703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Для каждой включенной карточки заполнены источник, дата, авторство, права, метод, ограничения и версия; исключения показаны отдельно.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«Сообщество стало сильнее»</w:t>
            </w:r>
          </w:p>
        </w:tc>
        <w:tc>
          <w:tcPr>
            <w:tcW w:type="dxa" w:w="703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Участники получили понятный порядок совместной работы и обращений; факт его использования и замечания отражены в протоколе.</w:t>
            </w:r>
          </w:p>
        </w:tc>
      </w:tr>
    </w:tbl>
    <w:p>
      <w:pPr>
        <w:spacing w:after="20"/>
      </w:pPr>
    </w:p>
    <w:p>
      <w:pPr>
        <w:pStyle w:val="Heading2"/>
      </w:pPr>
      <w:r>
        <w:t>Три группы требований</w:t>
      </w:r>
    </w:p>
    <w:p>
      <w:r>
        <w:rPr>
          <w:b w:val="0"/>
        </w:rPr>
        <w:t>Обязательные условия — право, безопасность, данные и иные запреты на продолжение. Требования приемки — качества, без которых заявленный результат не выполнен. Направления улучшения — желательные качества следующего цикла. Группа каждого критерия фиксируется до получения результата.</w:t>
      </w:r>
    </w:p>
    <w:p>
      <w:pPr>
        <w:pStyle w:val="Heading2"/>
      </w:pPr>
      <w:r>
        <w:t>Четыре статуса проверки</w:t>
      </w:r>
    </w:p>
    <w:p>
      <w:r>
        <w:rPr>
          <w:b w:val="0"/>
        </w:rPr>
        <w:t>Выполнено; не выполнено; данных недостаточно; неприменимо с обоснованием. Для обязательного условия «данных недостаточно» не равно «разрешено». Среднее значение нескольких успешных критериев не закрывает провал критического требования.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Достижение — не идеальность</w:t>
            </w:r>
          </w:p>
          <w:p>
            <w:pPr>
              <w:spacing w:after="140"/>
            </w:pPr>
            <w:r>
              <w:rPr>
                <w:sz w:val="21"/>
              </w:rPr>
              <w:t>Результат может соответствовать выбранной версии и при этом иметь ограничения. Эти ограничения входят в эталон, а не скрываются в примечаниях.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09 / ДОКАЗАТЕЛЬСТВА</w:t>
      </w:r>
    </w:p>
    <w:p>
      <w:pPr>
        <w:pStyle w:val="Heading1"/>
      </w:pPr>
      <w:r>
        <w:t>Проверить соответствие и проверить пользу</w:t>
      </w:r>
    </w:p>
    <w:p>
      <w:r>
        <w:rPr>
          <w:b w:val="0"/>
        </w:rPr>
        <w:t>Инженерная методология различает верификацию — подтверждение соответствия заданным требованиям — и валидацию — подтверждение пригодности для ожидаемого применения. В конструкторе используются оба вопроса: «Сделано по условиям?» и «Решает ли это согласованную задачу пользователя?». [S02]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4139"/>
        <w:gridCol w:w="3685"/>
      </w:tblGrid>
      <w:tr>
        <w:trPr>
          <w:tblHeader/>
          <w:cantSplit/>
        </w:trPr>
        <w:tc>
          <w:tcPr>
            <w:tcW w:type="dxa" w:w="204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Объект проверки</w:t>
            </w:r>
          </w:p>
        </w:tc>
        <w:tc>
          <w:tcPr>
            <w:tcW w:type="dxa" w:w="413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Подходящий материал</w:t>
            </w:r>
          </w:p>
        </w:tc>
        <w:tc>
          <w:tcPr>
            <w:tcW w:type="dxa" w:w="368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Ограничение</w:t>
            </w:r>
          </w:p>
        </w:tc>
      </w:tr>
      <w:tr>
        <w:trPr>
          <w:cantSplit/>
        </w:trPr>
        <w:tc>
          <w:tcPr>
            <w:tcW w:type="dxa" w:w="204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Умение</w:t>
            </w:r>
          </w:p>
        </w:tc>
        <w:tc>
          <w:tcPr>
            <w:tcW w:type="dxa" w:w="413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Самостоятельно выполненное задание и лист критериев.</w:t>
            </w:r>
          </w:p>
        </w:tc>
        <w:tc>
          <w:tcPr>
            <w:tcW w:type="dxa" w:w="368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Самоотчет и посещаемость не заменяют образец работы.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Процесс</w:t>
            </w:r>
          </w:p>
        </w:tc>
        <w:tc>
          <w:tcPr>
            <w:tcW w:type="dxa" w:w="413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Наблюдение нескольких выполнений, журнал отклонений.</w:t>
            </w:r>
          </w:p>
        </w:tc>
        <w:tc>
          <w:tcPr>
            <w:tcW w:type="dxa" w:w="368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Один удачный случай не доказывает устойчивость.</w:t>
            </w:r>
          </w:p>
        </w:tc>
      </w:tr>
      <w:tr>
        <w:trPr>
          <w:cantSplit/>
        </w:trPr>
        <w:tc>
          <w:tcPr>
            <w:tcW w:type="dxa" w:w="204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Физическая величина</w:t>
            </w:r>
          </w:p>
        </w:tc>
        <w:tc>
          <w:tcPr>
            <w:tcW w:type="dxa" w:w="413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Метод, прибор, условия, первичные данные и оценка качества.</w:t>
            </w:r>
          </w:p>
        </w:tc>
        <w:tc>
          <w:tcPr>
            <w:tcW w:type="dxa" w:w="368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Цифра без единицы и условий непригодна для сравнения.</w:t>
            </w:r>
          </w:p>
        </w:tc>
      </w:tr>
      <w:tr>
        <w:trPr>
          <w:cantSplit/>
        </w:trPr>
        <w:tc>
          <w:tcPr>
            <w:tcW w:type="dxa" w:w="204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Пользовательская пригодность</w:t>
            </w:r>
          </w:p>
        </w:tc>
        <w:tc>
          <w:tcPr>
            <w:tcW w:type="dxa" w:w="413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Проверка в реальном сценарии и обратная связь.</w:t>
            </w:r>
          </w:p>
        </w:tc>
        <w:tc>
          <w:tcPr>
            <w:tcW w:type="dxa" w:w="368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Мнение ограниченной группы нельзя выдавать за мнение всех.</w:t>
            </w:r>
          </w:p>
        </w:tc>
      </w:tr>
      <w:tr>
        <w:trPr>
          <w:cantSplit/>
        </w:trPr>
        <w:tc>
          <w:tcPr>
            <w:tcW w:type="dxa" w:w="204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Расход</w:t>
            </w:r>
          </w:p>
        </w:tc>
        <w:tc>
          <w:tcPr>
            <w:tcW w:type="dxa" w:w="413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Подтверждающие документы и сверка плана с фактом.</w:t>
            </w:r>
          </w:p>
        </w:tc>
        <w:tc>
          <w:tcPr>
            <w:tcW w:type="dxa" w:w="368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Обещанное финансирование не равно поступившим деньгам.</w:t>
            </w:r>
          </w:p>
        </w:tc>
      </w:tr>
    </w:tbl>
    <w:p>
      <w:pPr>
        <w:spacing w:after="20"/>
      </w:pPr>
    </w:p>
    <w:p>
      <w:pPr>
        <w:pStyle w:val="Heading2"/>
      </w:pPr>
      <w:r>
        <w:t>Качество измерений и границы вывода</w:t>
      </w:r>
    </w:p>
    <w:p>
      <w:r>
        <w:rPr>
          <w:b w:val="0"/>
        </w:rPr>
        <w:t>Метрологическая прослеживаемость связывает результат измерения с опорой через документированную цепь калибровок с учетом неопределенности. Это не то же самое, что цифровая история файла. Требуемая процедура определяется видом измерения и применимыми правилами. [S10, S09]</w:t>
      </w:r>
    </w:p>
    <w:p>
      <w:r>
        <w:rPr>
          <w:b w:val="0"/>
        </w:rPr>
        <w:t>В каждой проверке фиксируются пропуски, изменившиеся условия и возможные источники ошибки. Когда диапазон неопределенности пересекает порог, положительное заключение не выдается автоматически: применяется заранее согласованное правило либо собираются дополнительные данные.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Разрыв цепочки</w:t>
            </w:r>
          </w:p>
          <w:p>
            <w:pPr>
              <w:spacing w:after="140"/>
            </w:pPr>
            <w:r>
              <w:rPr>
                <w:sz w:val="21"/>
              </w:rPr>
              <w:t>Источник → метод → данные → расчет → вывод. Если одно звено отсутствует, статус вывода снижается до «данных недостаточно» или «гипотеза».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10 / КОНТРОЛЬНЫЙ ЛИСТ</w:t>
      </w:r>
    </w:p>
    <w:p>
      <w:pPr>
        <w:pStyle w:val="Heading1"/>
      </w:pPr>
      <w:r>
        <w:t>20 проверок перед применением эталона</w:t>
      </w:r>
    </w:p>
    <w:p>
      <w:r>
        <w:rPr>
          <w:b w:val="0"/>
        </w:rPr>
        <w:t>Q01–Q20 — предлагаемый контрольный лист конструктора. Это не требования международного стандарта и не оценка личности. Неприменимость пункта требует короткого объяснения; блокирующие замечания закрываются до старта.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4"/>
        <w:gridCol w:w="1757"/>
        <w:gridCol w:w="7483"/>
      </w:tblGrid>
      <w:tr>
        <w:trPr>
          <w:tblHeader/>
          <w:cantSplit/>
        </w:trPr>
        <w:tc>
          <w:tcPr>
            <w:tcW w:type="dxa" w:w="62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Код</w:t>
            </w:r>
          </w:p>
        </w:tc>
        <w:tc>
          <w:tcPr>
            <w:tcW w:type="dxa" w:w="1757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Группа</w:t>
            </w:r>
          </w:p>
        </w:tc>
        <w:tc>
          <w:tcPr>
            <w:tcW w:type="dxa" w:w="7483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Проверка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Q01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Польза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Потребность подтверждена участником или владельцем задачи.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Q02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Польза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Человек может выбрать маршрут, сделать паузу и выйти.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Q03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Польза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Границы объекта, периода и группы явно описаны.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Q04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Польза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Исходное состояние отделено от желаемого результата.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Q05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Польза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Критерии понятны пользователю и проверяющему.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Q06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Реализуемость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Нужные знания, метод и наставник доступны.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Q07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Реализуемость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Ресурсы подтверждены; нет двойного обещания одного ресурса.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Q08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Реализуемость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Сроки и нагрузка согласованы с исполнителями.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Q09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Реализуемость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Финансовый план имеет основание и ответственного.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Q10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Реализуемость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Роли, полномочия и зависимости определены.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Q11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Безопасность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Выявлены правовые основания и обязательные требования.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Q12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Безопасность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Определены риски, стоп-условия и порядок реагирования.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Q13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Безопасность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Учтены доступность и отсутствие принуждения.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Q14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Безопасность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Права на материалы и режим данных установлены.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Q15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Безопасность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Проверены побочные эффекты в связанных направлениях.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Q16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Доказательства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Для критерия заданы единицы, метод и правило решения.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Q17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Доказательства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Периоды и условия сопоставимы либо различия объяснены.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Q18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Доказательства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Данные, расчеты и ограничения доступны проверяющему.</w:t>
            </w:r>
          </w:p>
        </w:tc>
      </w:tr>
      <w:tr>
        <w:trPr>
          <w:cantSplit/>
        </w:trPr>
        <w:tc>
          <w:tcPr>
            <w:tcW w:type="dxa" w:w="62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Q19</w:t>
            </w:r>
          </w:p>
        </w:tc>
        <w:tc>
          <w:tcPr>
            <w:tcW w:type="dxa" w:w="175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Доказательства</w:t>
            </w:r>
          </w:p>
        </w:tc>
        <w:tc>
          <w:tcPr>
            <w:tcW w:type="dxa" w:w="748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Результат проверен не только его автором.</w:t>
            </w:r>
          </w:p>
        </w:tc>
      </w:tr>
      <w:tr>
        <w:trPr>
          <w:cantSplit/>
        </w:trPr>
        <w:tc>
          <w:tcPr>
            <w:tcW w:type="dxa" w:w="62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Q20</w:t>
            </w:r>
          </w:p>
        </w:tc>
        <w:tc>
          <w:tcPr>
            <w:tcW w:type="dxa" w:w="175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Доказательства</w:t>
            </w:r>
          </w:p>
        </w:tc>
        <w:tc>
          <w:tcPr>
            <w:tcW w:type="dxa" w:w="748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Назначены версия, срок пересмотра и канал исправления.</w:t>
            </w:r>
          </w:p>
        </w:tc>
      </w:tr>
    </w:tbl>
    <w:p>
      <w:pPr>
        <w:spacing w:after="20"/>
      </w:pPr>
    </w:p>
    <w:p>
      <w:r>
        <w:rPr>
          <w:b w:val="0"/>
          <w:color w:val="586C78"/>
          <w:sz w:val="20"/>
        </w:rPr>
        <w:t>В форме проверки указываются статус, доказательство, замечание, ответственный и срок. Итог — конкретное решение по проекту: допустить, доработать, приостановить или завершить.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11 / 19 НАПРАВЛЕНИЙ</w:t>
      </w:r>
    </w:p>
    <w:p>
      <w:pPr>
        <w:pStyle w:val="Heading1"/>
      </w:pPr>
      <w:r>
        <w:t>Человек, знания и природная основа</w:t>
      </w:r>
    </w:p>
    <w:p>
      <w:r>
        <w:rPr>
          <w:b w:val="0"/>
          <w:color w:val="586C78"/>
          <w:sz w:val="20"/>
        </w:rPr>
        <w:t>Нумерация D01–D19 сохранена из программы ФЕНИКС. Ниже предложены типовые объекты эталонирования; конкретные пороги и разрешения выбираются под проект.</w:t>
      </w:r>
    </w:p>
    <w:p>
      <w:pPr>
        <w:pStyle w:val="Heading2"/>
      </w:pPr>
      <w:r>
        <w:t>D01 / Человек и здоровье</w:t>
      </w:r>
    </w:p>
    <w:p>
      <w:r>
        <w:rPr>
          <w:b w:val="0"/>
        </w:rPr>
        <w:t>Эталон: Доступная и безопасная практика. Согласованный режим участия, понятный маршрут профильной помощи и отсутствие неразрешенных медицинских вмешательств.</w:t>
      </w:r>
    </w:p>
    <w:p>
      <w:r>
        <w:rPr>
          <w:b w:val="0"/>
          <w:color w:val="586C78"/>
          <w:sz w:val="19"/>
        </w:rPr>
        <w:t>Подтверждение: Карта барьеров; протокол адаптации; обратная связь. Граница: Не оценивать ценность человека и не подменять лечение учебным маршрутом.</w:t>
      </w:r>
    </w:p>
    <w:p>
      <w:pPr>
        <w:pStyle w:val="Heading2"/>
      </w:pPr>
      <w:r>
        <w:t>D02 / Образование и знания</w:t>
      </w:r>
    </w:p>
    <w:p>
      <w:r>
        <w:rPr>
          <w:b w:val="0"/>
        </w:rPr>
        <w:t>Эталон: Повторяемый учебный модуль. Участник выполняет согласованную задачу, объясняет метод и может воспользоваться материалом без скрытых условий.</w:t>
      </w:r>
    </w:p>
    <w:p>
      <w:r>
        <w:rPr>
          <w:b w:val="0"/>
          <w:color w:val="586C78"/>
          <w:sz w:val="19"/>
        </w:rPr>
        <w:t>Подтверждение: Образец работы; лист критериев; источники и права. Граница: Посещение занятия само по себе не доказывает освоенный навык.</w:t>
      </w:r>
    </w:p>
    <w:p>
      <w:pPr>
        <w:pStyle w:val="Heading2"/>
      </w:pPr>
      <w:r>
        <w:t>D03 / Естественный климат</w:t>
      </w:r>
    </w:p>
    <w:p>
      <w:r>
        <w:rPr>
          <w:b w:val="0"/>
        </w:rPr>
        <w:t>Эталон: Паспорт местного климатического риска. Наблюдения привязаны к месту и времени; предлагаемые меры соответствуют изученной уязвимости.</w:t>
      </w:r>
    </w:p>
    <w:p>
      <w:r>
        <w:rPr>
          <w:b w:val="0"/>
          <w:color w:val="586C78"/>
          <w:sz w:val="19"/>
        </w:rPr>
        <w:t>Подтверждение: Журнал; карта; описание сезона и границ вывода. Граница: Местное наблюдение не доказывает глобальное изменение климата.</w:t>
      </w:r>
    </w:p>
    <w:p>
      <w:pPr>
        <w:pStyle w:val="Heading2"/>
      </w:pPr>
      <w:r>
        <w:t>D04 / Земля и почвы</w:t>
      </w:r>
    </w:p>
    <w:p>
      <w:r>
        <w:rPr>
          <w:b w:val="0"/>
        </w:rPr>
        <w:t>Эталон: Учебный участок с сопоставимыми наблюдениями. Есть согласованная площадка, метод отбора и исходное описание почвы и режима участка.</w:t>
      </w:r>
    </w:p>
    <w:p>
      <w:r>
        <w:rPr>
          <w:b w:val="0"/>
          <w:color w:val="586C78"/>
          <w:sz w:val="19"/>
        </w:rPr>
        <w:t>Подтверждение: Паспорт участка; схема точек; результаты профильного анализа при необходимости. Граница: Не переносить выводы с одного участка на всю территорию.</w:t>
      </w:r>
    </w:p>
    <w:p>
      <w:pPr>
        <w:pStyle w:val="Heading2"/>
      </w:pPr>
      <w:r>
        <w:t>D05 / Вода</w:t>
      </w:r>
    </w:p>
    <w:p>
      <w:r>
        <w:rPr>
          <w:b w:val="0"/>
        </w:rPr>
        <w:t>Эталон: Понятный водный учет. Объемы и потери различены; устраненная утечка подтверждается до и после в сопоставимых условиях.</w:t>
      </w:r>
    </w:p>
    <w:p>
      <w:r>
        <w:rPr>
          <w:b w:val="0"/>
          <w:color w:val="586C78"/>
          <w:sz w:val="19"/>
        </w:rPr>
        <w:t>Подтверждение: Показания; акт; журнал режима объекта. Граница: Экономия воды не подтверждает качество питьевой воды.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12 / 19 НАПРАВЛЕНИЙ</w:t>
      </w:r>
    </w:p>
    <w:p>
      <w:pPr>
        <w:pStyle w:val="Heading1"/>
      </w:pPr>
      <w:r>
        <w:t>Среда, питание, энергия и материалы</w:t>
      </w:r>
    </w:p>
    <w:p>
      <w:r>
        <w:rPr>
          <w:b w:val="0"/>
          <w:color w:val="586C78"/>
          <w:sz w:val="20"/>
        </w:rPr>
        <w:t>Нумерация D01–D19 сохранена из программы ФЕНИКС. Ниже предложены типовые объекты эталонирования; конкретные пороги и разрешения выбираются под проект.</w:t>
      </w:r>
    </w:p>
    <w:p>
      <w:pPr>
        <w:pStyle w:val="Heading2"/>
      </w:pPr>
      <w:r>
        <w:t>D06 / Воздух</w:t>
      </w:r>
    </w:p>
    <w:p>
      <w:r>
        <w:rPr>
          <w:b w:val="0"/>
        </w:rPr>
        <w:t>Эталон: Проверяемая карта условий помещения. Указаны назначение датчика, место, время и условия; пределы метода сообщены пользователю.</w:t>
      </w:r>
    </w:p>
    <w:p>
      <w:r>
        <w:rPr>
          <w:b w:val="0"/>
          <w:color w:val="586C78"/>
          <w:sz w:val="19"/>
        </w:rPr>
        <w:t>Подтверждение: Журнал показаний; сведения о приборе; профильная проверка при необходимости. Граница: Бытовое наблюдение не равно заключению лаборатории.</w:t>
      </w:r>
    </w:p>
    <w:p>
      <w:pPr>
        <w:pStyle w:val="Heading2"/>
      </w:pPr>
      <w:r>
        <w:t>D07 / Биоценозы</w:t>
      </w:r>
    </w:p>
    <w:p>
      <w:r>
        <w:rPr>
          <w:b w:val="0"/>
        </w:rPr>
        <w:t>Эталон: Воспроизводимая карта наблюдений. Вид, место, дата и метод фиксируются; природоохранное действие согласуется с режимом территории.</w:t>
      </w:r>
    </w:p>
    <w:p>
      <w:r>
        <w:rPr>
          <w:b w:val="0"/>
          <w:color w:val="586C78"/>
          <w:sz w:val="19"/>
        </w:rPr>
        <w:t>Подтверждение: Карточки наблюдений; маршрут; фото с допустимым раскрытием координат. Граница: Не вмешиваться в охраняемые местообитания без основания.</w:t>
      </w:r>
    </w:p>
    <w:p>
      <w:pPr>
        <w:pStyle w:val="Heading2"/>
      </w:pPr>
      <w:r>
        <w:t>D08 / Продовольствие</w:t>
      </w:r>
    </w:p>
    <w:p>
      <w:r>
        <w:rPr>
          <w:b w:val="0"/>
        </w:rPr>
        <w:t>Эталон: Прослеживаемая учебная пищевая цепочка. Происхождение, хранение и распределение продукта описаны; безопасность проверяется по виду деятельности.</w:t>
      </w:r>
    </w:p>
    <w:p>
      <w:r>
        <w:rPr>
          <w:b w:val="0"/>
          <w:color w:val="586C78"/>
          <w:sz w:val="19"/>
        </w:rPr>
        <w:t>Подтверждение: Журнал партии; условия хранения; документы исполнителя. Граница: Учебный проект не отменяет санитарные требования.</w:t>
      </w:r>
    </w:p>
    <w:p>
      <w:pPr>
        <w:pStyle w:val="Heading2"/>
      </w:pPr>
      <w:r>
        <w:t>D09 / Энергия</w:t>
      </w:r>
    </w:p>
    <w:p>
      <w:r>
        <w:rPr>
          <w:b w:val="0"/>
        </w:rPr>
        <w:t>Эталон: Энергетический паспорт объекта. Энергия учтена в заданных границах; сравнение учитывает режим работы и существенные факторы.</w:t>
      </w:r>
    </w:p>
    <w:p>
      <w:r>
        <w:rPr>
          <w:b w:val="0"/>
          <w:color w:val="586C78"/>
          <w:sz w:val="19"/>
        </w:rPr>
        <w:t>Подтверждение: Журнал; единицы; расчет; неопределенность и ограничения. Граница: Расчетный потенциал не объявляется измеренной экономией.</w:t>
      </w:r>
    </w:p>
    <w:p>
      <w:pPr>
        <w:pStyle w:val="Heading2"/>
      </w:pPr>
      <w:r>
        <w:t>D10 / Материалы</w:t>
      </w:r>
    </w:p>
    <w:p>
      <w:r>
        <w:rPr>
          <w:b w:val="0"/>
        </w:rPr>
        <w:t>Эталон: Паспорт материала и испытания. Состав, партия, назначение и требуемые свойства определены; метод проверки соответствует задаче.</w:t>
      </w:r>
    </w:p>
    <w:p>
      <w:r>
        <w:rPr>
          <w:b w:val="0"/>
          <w:color w:val="586C78"/>
          <w:sz w:val="19"/>
        </w:rPr>
        <w:t>Подтверждение: Протокол испытаний; идентификатор образца; условия. Граница: Керамика и синтетические кристаллы не взаимозаменяемы без проверки свойств.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13 / 19 НАПРАВЛЕНИЙ</w:t>
      </w:r>
    </w:p>
    <w:p>
      <w:pPr>
        <w:pStyle w:val="Heading1"/>
      </w:pPr>
      <w:r>
        <w:t>Производство, инфраструктура и наука</w:t>
      </w:r>
    </w:p>
    <w:p>
      <w:r>
        <w:rPr>
          <w:b w:val="0"/>
          <w:color w:val="586C78"/>
          <w:sz w:val="20"/>
        </w:rPr>
        <w:t>Нумерация D01–D19 сохранена из программы ФЕНИКС. Ниже предложены типовые объекты эталонирования; конкретные пороги и разрешения выбираются под проект.</w:t>
      </w:r>
    </w:p>
    <w:p>
      <w:pPr>
        <w:pStyle w:val="Heading2"/>
      </w:pPr>
      <w:r>
        <w:t>D11 / Промышленность</w:t>
      </w:r>
    </w:p>
    <w:p>
      <w:r>
        <w:rPr>
          <w:b w:val="0"/>
        </w:rPr>
        <w:t>Эталон: Повторяемый производственный процесс. Выходной результат, технологические условия, качество и ограничения безопасности заданы до выполнения.</w:t>
      </w:r>
    </w:p>
    <w:p>
      <w:r>
        <w:rPr>
          <w:b w:val="0"/>
          <w:color w:val="586C78"/>
          <w:sz w:val="19"/>
        </w:rPr>
        <w:t>Подтверждение: Карта процесса; журнал партии; акт контроля. Граница: Единичный удачный образец не подтверждает серийную устойчивость.</w:t>
      </w:r>
    </w:p>
    <w:p>
      <w:pPr>
        <w:pStyle w:val="Heading2"/>
      </w:pPr>
      <w:r>
        <w:t>D12 / Транспорт</w:t>
      </w:r>
    </w:p>
    <w:p>
      <w:r>
        <w:rPr>
          <w:b w:val="0"/>
        </w:rPr>
        <w:t>Эталон: Маршрут с проверенными условиями использования. Доступность, время, ресурс и ограничения маршрута описаны для конкретной группы и периода.</w:t>
      </w:r>
    </w:p>
    <w:p>
      <w:r>
        <w:rPr>
          <w:b w:val="0"/>
          <w:color w:val="586C78"/>
          <w:sz w:val="19"/>
        </w:rPr>
        <w:t>Подтверждение: Карта; журнал времени; проверка условий. Граница: Обещанное время не подменяет фактическую доступность.</w:t>
      </w:r>
    </w:p>
    <w:p>
      <w:pPr>
        <w:pStyle w:val="Heading2"/>
      </w:pPr>
      <w:r>
        <w:t>D13 / Города и расселение</w:t>
      </w:r>
    </w:p>
    <w:p>
      <w:r>
        <w:rPr>
          <w:b w:val="0"/>
        </w:rPr>
        <w:t>Эталон: Доступная площадка или объект среды. Собственник, разрешенный режим, пользователи и барьеры известны; изменения согласованы.</w:t>
      </w:r>
    </w:p>
    <w:p>
      <w:r>
        <w:rPr>
          <w:b w:val="0"/>
          <w:color w:val="586C78"/>
          <w:sz w:val="19"/>
        </w:rPr>
        <w:t>Подтверждение: Обмеры; маршрут пользователя; акты работ. Граница: Схема благоустройства не заменяет проектные и разрешительные документы.</w:t>
      </w:r>
    </w:p>
    <w:p>
      <w:pPr>
        <w:pStyle w:val="Heading2"/>
      </w:pPr>
      <w:r>
        <w:t>D14 / Наука</w:t>
      </w:r>
    </w:p>
    <w:p>
      <w:r>
        <w:rPr>
          <w:b w:val="0"/>
        </w:rPr>
        <w:t>Эталон: Воспроизводимый исследовательский протокол. Вопрос, гипотеза, метод, исходные данные и условия повторения опубликованы в допустимом объеме.</w:t>
      </w:r>
    </w:p>
    <w:p>
      <w:r>
        <w:rPr>
          <w:b w:val="0"/>
          <w:color w:val="586C78"/>
          <w:sz w:val="19"/>
        </w:rPr>
        <w:t>Подтверждение: Протокол; данные; расчет; ограничения и отрицательные результаты. Граница: Гипотеза не объявляется установленным научным результатом.</w:t>
      </w:r>
    </w:p>
    <w:p>
      <w:pPr>
        <w:pStyle w:val="Heading2"/>
      </w:pPr>
      <w:r>
        <w:t>D15 / Цифровая среда и ИИ</w:t>
      </w:r>
    </w:p>
    <w:p>
      <w:r>
        <w:rPr>
          <w:b w:val="0"/>
        </w:rPr>
        <w:t>Эталон: Проверяемая цифровая функция. Назначение, права доступа, журнал действий, тестовые случаи и способ ручного исправления определены.</w:t>
      </w:r>
    </w:p>
    <w:p>
      <w:r>
        <w:rPr>
          <w:b w:val="0"/>
          <w:color w:val="586C78"/>
          <w:sz w:val="19"/>
        </w:rPr>
        <w:t>Подтверждение: Протокол теста; версии; журнал ошибок и доступа. Граница: Ответ ИИ не является самостоятельным доказательством.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14 / 19 НАПРАВЛЕНИЙ</w:t>
      </w:r>
    </w:p>
    <w:p>
      <w:pPr>
        <w:pStyle w:val="Heading1"/>
      </w:pPr>
      <w:r>
        <w:t>Ресурсы, сообщество и управление</w:t>
      </w:r>
    </w:p>
    <w:p>
      <w:r>
        <w:rPr>
          <w:b w:val="0"/>
          <w:color w:val="586C78"/>
          <w:sz w:val="20"/>
        </w:rPr>
        <w:t>Нумерация D01–D19 сохранена из программы ФЕНИКС. Ниже предложены типовые объекты эталонирования; конкретные пороги и разрешения выбираются под проект.</w:t>
      </w:r>
    </w:p>
    <w:p>
      <w:pPr>
        <w:pStyle w:val="Heading2"/>
      </w:pPr>
      <w:r>
        <w:t>D16 / Экономика и финансы</w:t>
      </w:r>
    </w:p>
    <w:p>
      <w:r>
        <w:rPr>
          <w:b w:val="0"/>
        </w:rPr>
        <w:t>Эталон: Прозрачный ресурсный и денежный план. План отделен от факта, обязательства от поступлений, а натуральный вклад от денег.</w:t>
      </w:r>
    </w:p>
    <w:p>
      <w:r>
        <w:rPr>
          <w:b w:val="0"/>
          <w:color w:val="586C78"/>
          <w:sz w:val="19"/>
        </w:rPr>
        <w:t>Подтверждение: Смета; договоры; первичные документы; сверка. Граница: Не суммировать рубли, часы, энергию и человеческие качества.</w:t>
      </w:r>
    </w:p>
    <w:p>
      <w:pPr>
        <w:pStyle w:val="Heading2"/>
      </w:pPr>
      <w:r>
        <w:t>D17 / Социальная система</w:t>
      </w:r>
    </w:p>
    <w:p>
      <w:r>
        <w:rPr>
          <w:b w:val="0"/>
        </w:rPr>
        <w:t>Эталон: Доступная добровольная услуга. Условия участия, поддержки, обращения и выхода понятны; обратная связь не влечет санкций.</w:t>
      </w:r>
    </w:p>
    <w:p>
      <w:r>
        <w:rPr>
          <w:b w:val="0"/>
          <w:color w:val="586C78"/>
          <w:sz w:val="19"/>
        </w:rPr>
        <w:t>Подтверждение: Правила; обезличенная обратная связь; журнал обращений. Граница: Не строить социальный рейтинг семей или участников.</w:t>
      </w:r>
    </w:p>
    <w:p>
      <w:pPr>
        <w:pStyle w:val="Heading2"/>
      </w:pPr>
      <w:r>
        <w:t>D18 / Безопасность и устойчивость</w:t>
      </w:r>
    </w:p>
    <w:p>
      <w:r>
        <w:rPr>
          <w:b w:val="0"/>
        </w:rPr>
        <w:t>Эталон: Проверенный порядок действий при сбое. Риски, стоп-условия, ответственные и восстановление работы заданы и опробованы безопасным способом.</w:t>
      </w:r>
    </w:p>
    <w:p>
      <w:r>
        <w:rPr>
          <w:b w:val="0"/>
          <w:color w:val="586C78"/>
          <w:sz w:val="19"/>
        </w:rPr>
        <w:t>Подтверждение: Журнал рисков; учебная проверка; протокол устранения. Граница: Нулевое число записей об инцидентах не доказывает отсутствие риска.</w:t>
      </w:r>
    </w:p>
    <w:p>
      <w:pPr>
        <w:pStyle w:val="Heading2"/>
      </w:pPr>
      <w:r>
        <w:t>D19 / Управление развитием</w:t>
      </w:r>
    </w:p>
    <w:p>
      <w:r>
        <w:rPr>
          <w:b w:val="0"/>
        </w:rPr>
        <w:t>Эталон: Прозрачный цикл проектных решений. Есть полномочия, критерии, доказательства, протокол и возможность пересмотра решения по проекту.</w:t>
      </w:r>
    </w:p>
    <w:p>
      <w:r>
        <w:rPr>
          <w:b w:val="0"/>
          <w:color w:val="586C78"/>
          <w:sz w:val="19"/>
        </w:rPr>
        <w:t>Подтверждение: Реестр решений; версии; исполнения и мотивированные замечания. Граница: Оценивается процедура проекта, а не политические взгляды или выбор человека.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Связанные направления</w:t>
            </w:r>
          </w:p>
          <w:p>
            <w:pPr>
              <w:spacing w:after="140"/>
            </w:pPr>
            <w:r>
              <w:rPr>
                <w:sz w:val="21"/>
              </w:rPr>
              <w:t>Основное направление определяет владельца задачи. Дополнительные связи отмечают влияние на знания, ресурсы, безопасность и среду. Они не создают несколько копий одного и того же эффекта.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15 / СВЯЗАННЫЕ БАЛАНСЫ</w:t>
      </w:r>
    </w:p>
    <w:p>
      <w:pPr>
        <w:pStyle w:val="Heading1"/>
      </w:pPr>
      <w:r>
        <w:t>От эталона к изменению состояния</w:t>
      </w:r>
    </w:p>
    <w:p>
      <w:r>
        <w:rPr>
          <w:b w:val="0"/>
        </w:rPr>
        <w:t>Эталон задает, какое изменение считается нужным и приемлемым. Баланс описывает потребность, наличие, дефицит, действие и подтвержденное изменение в определенных единицах. Для одного проекта могут понадобиться несколько балансов, но результат не умножается на число связей.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7370"/>
      </w:tblGrid>
      <w:tr>
        <w:trPr>
          <w:tblHeader/>
          <w:cantSplit/>
        </w:trPr>
        <w:tc>
          <w:tcPr>
            <w:tcW w:type="dxa" w:w="249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Запись</w:t>
            </w:r>
          </w:p>
        </w:tc>
        <w:tc>
          <w:tcPr>
            <w:tcW w:type="dxa" w:w="7370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фиксировать</w:t>
            </w:r>
          </w:p>
        </w:tc>
      </w:tr>
      <w:tr>
        <w:trPr>
          <w:cantSplit/>
        </w:trPr>
        <w:tc>
          <w:tcPr>
            <w:tcW w:type="dxa" w:w="249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Потребность и исходное состояние</w:t>
            </w:r>
          </w:p>
        </w:tc>
        <w:tc>
          <w:tcPr>
            <w:tcW w:type="dxa" w:w="737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Объект, период, единицы, источник и подтвержденный дефицит.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Ресурс и действие</w:t>
            </w:r>
          </w:p>
        </w:tc>
        <w:tc>
          <w:tcPr>
            <w:tcW w:type="dxa" w:w="737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Владелец ресурса; наличие; ограничения; фактический вклад; работа.</w:t>
            </w:r>
          </w:p>
        </w:tc>
      </w:tr>
      <w:tr>
        <w:trPr>
          <w:cantSplit/>
        </w:trPr>
        <w:tc>
          <w:tcPr>
            <w:tcW w:type="dxa" w:w="249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Эталон и факт</w:t>
            </w:r>
          </w:p>
        </w:tc>
        <w:tc>
          <w:tcPr>
            <w:tcW w:type="dxa" w:w="737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Целевое состояние; фактическое значение; метод сопоставления.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Межнаправленная связь</w:t>
            </w:r>
          </w:p>
        </w:tc>
        <w:tc>
          <w:tcPr>
            <w:tcW w:type="dxa" w:w="737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Из какого D-кода в какой; тип влияния; ожидаемый знак; доказательство.</w:t>
            </w:r>
          </w:p>
        </w:tc>
      </w:tr>
      <w:tr>
        <w:trPr>
          <w:cantSplit/>
        </w:trPr>
        <w:tc>
          <w:tcPr>
            <w:tcW w:type="dxa" w:w="249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Результат решения</w:t>
            </w:r>
          </w:p>
        </w:tc>
        <w:tc>
          <w:tcPr>
            <w:tcW w:type="dxa" w:w="737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Улучшение, ухудшение либо недостаток данных; ответственный за следующее действие.</w:t>
            </w:r>
          </w:p>
        </w:tc>
      </w:tr>
    </w:tbl>
    <w:p>
      <w:pPr>
        <w:spacing w:after="20"/>
      </w:pPr>
    </w:p>
    <w:p>
      <w:pPr>
        <w:pStyle w:val="Heading2"/>
      </w:pPr>
      <w:r>
        <w:t>Матрица 19 × 19</w:t>
      </w:r>
    </w:p>
    <w:p>
      <w:r>
        <w:rPr>
          <w:b w:val="0"/>
        </w:rPr>
        <w:t>На пересечении направлений хранится описание связи, а не произвольный универсальный балл. Пример: снижение расхода энергии D09 требует проверки влияния на воздух D06, доступность D01 и безопасность D18. Экономия при ухудшении критических условий не принимается как выполненный эталон.</w:t>
      </w:r>
    </w:p>
    <w:p>
      <w:pPr>
        <w:pStyle w:val="Heading2"/>
      </w:pPr>
      <w:r>
        <w:t>Рабочая интерпретация «Кристалла 741»</w:t>
      </w:r>
    </w:p>
    <w:p>
      <w:r>
        <w:rPr>
          <w:b w:val="0"/>
        </w:rPr>
        <w:t>Для этого модуля предлагается отображение: 3 слоя «образ — эталон — факт» × 19 направлений × 13 полей = 741 структурная позиция. Это информационная модель для согласования, а не доказанный закон природы. Структура не требует заполнять все 741 позиции для каждого небольшого проекта.</w:t>
      </w:r>
    </w:p>
    <w:p>
      <w:r>
        <w:rPr>
          <w:b w:val="0"/>
        </w:rPr>
        <w:t>Матрица 13 × 20 связывает поля M01–M13 с проверками Q01–Q20. Ячейка содержит ссылку на доказательство или обоснование неприменимости; она не добавляет новые личные контуры.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Единицы не смешиваются</w:t>
            </w:r>
          </w:p>
          <w:p>
            <w:pPr>
              <w:spacing w:after="140"/>
            </w:pPr>
            <w:r>
              <w:rPr>
                <w:sz w:val="21"/>
              </w:rPr>
              <w:t>Рубли, часы, кВт·ч, объем воды и описательные качества хранятся отдельно. Ресурсный баланс не равен бухгалтерскому признанию актива.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16 / ПРИМЕР: ЗНАНИЯ</w:t>
      </w:r>
    </w:p>
    <w:p>
      <w:pPr>
        <w:pStyle w:val="Heading1"/>
      </w:pPr>
      <w:r>
        <w:t>Эталон открытого учебного модуля</w:t>
      </w:r>
    </w:p>
    <w:p>
      <w:r>
        <w:rPr>
          <w:b w:val="0"/>
        </w:rPr>
        <w:t>Учебный пример. Площадка хочет подготовить подборку из 20 карточек для самостоятельного заполнения журнала энергопотребления. Все числа ниже вымышлены для демонстрации методики.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8391"/>
      </w:tblGrid>
      <w:tr>
        <w:trPr>
          <w:tblHeader/>
          <w:cantSplit/>
        </w:trPr>
        <w:tc>
          <w:tcPr>
            <w:tcW w:type="dxa" w:w="147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Слой</w:t>
            </w:r>
          </w:p>
        </w:tc>
        <w:tc>
          <w:tcPr>
            <w:tcW w:type="dxa" w:w="839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147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Образ</w:t>
            </w:r>
          </w:p>
        </w:tc>
        <w:tc>
          <w:tcPr>
            <w:tcW w:type="dxa" w:w="839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Новичок понимает задачу, выполняет действие и знает, где заканчивается его компетенция.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Эталон</w:t>
            </w:r>
          </w:p>
        </w:tc>
        <w:tc>
          <w:tcPr>
            <w:tcW w:type="dxa" w:w="839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 каждой опубликованной карточки есть источник, авторство, права использования, шаги, ограничения, версия и проверяющий. Два независимых от автора пользователя проходят сценарий.</w:t>
            </w:r>
          </w:p>
        </w:tc>
      </w:tr>
      <w:tr>
        <w:trPr>
          <w:cantSplit/>
        </w:trPr>
        <w:tc>
          <w:tcPr>
            <w:tcW w:type="dxa" w:w="147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Факт примера</w:t>
            </w:r>
          </w:p>
        </w:tc>
        <w:tc>
          <w:tcPr>
            <w:tcW w:type="dxa" w:w="839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Подготовлены 20 карточек; 18 прошли проверку; для двух не установлены права на иллюстрации. Один из двух тестовых пользователей не смог повторить расчет без подсказки.</w:t>
            </w:r>
          </w:p>
        </w:tc>
      </w:tr>
    </w:tbl>
    <w:p>
      <w:pPr>
        <w:spacing w:after="20"/>
      </w:pPr>
    </w:p>
    <w:p>
      <w:pPr>
        <w:pStyle w:val="Heading2"/>
      </w:pPr>
      <w:r>
        <w:t>Решение по примерам критериев</w:t>
      </w:r>
    </w:p>
    <w:p>
      <w:r>
        <w:rPr>
          <w:b w:val="0"/>
        </w:rPr>
        <w:t>Критерий прав на весь заявленный комплект не выполнен. Критерий самостоятельного повторения двумя тестовыми пользователями также не выполнен. «18 из 20 готовы» описывает объем готовности, но не превращает весь комплект в принятый. Допускается отдельно принять 18 карточек как явно уменьшенный объем после согласования новой версии.</w:t>
      </w:r>
    </w:p>
    <w:p>
      <w:pPr>
        <w:pStyle w:val="Heading2"/>
      </w:pPr>
      <w:r>
        <w:t>Следующее действие</w:t>
      </w:r>
    </w:p>
    <w:p>
      <w:r>
        <w:rPr>
          <w:b w:val="0"/>
        </w:rPr>
        <w:t>Заменить две иллюстрации или получить разрешение. Уточнить инструкцию по расчету. Повторить пользовательскую проверку. В Архив сохранить и исходную версию, и перечень исправлений; не стирать факт неудачной попытки.</w:t>
      </w:r>
    </w:p>
    <w:p>
      <w:r>
        <w:rPr>
          <w:b w:val="0"/>
        </w:rPr>
        <w:t>Для открытых образовательных ресурсов ЮНЕСКО связывает повторное использование с общественным достоянием или открытой лицензией. Бесплатный доступ к странице сам по себе не подтверждает право переработки ее материалов. [S05]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Смысл эталона знания</w:t>
            </w:r>
          </w:p>
          <w:p>
            <w:pPr>
              <w:spacing w:after="140"/>
            </w:pPr>
            <w:r>
              <w:rPr>
                <w:sz w:val="21"/>
              </w:rPr>
              <w:t>Не количество файлов, а возможность понять, законно использовать, безопасно повторить и проверить конкретное действие.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17 / ПРИМЕР: ЭНЕРГИЯ</w:t>
      </w:r>
    </w:p>
    <w:p>
      <w:pPr>
        <w:pStyle w:val="Heading1"/>
      </w:pPr>
      <w:r>
        <w:t>Сравнение, которое не скрывает условия</w:t>
      </w:r>
    </w:p>
    <w:p>
      <w:r>
        <w:rPr>
          <w:b w:val="0"/>
        </w:rPr>
        <w:t>Учебный расчет для условной мастерской. Основное направление D09; связи D02, D06, D15 и D18. Цель примера: удельное потребление не выше 18 кВт·ч на час работы при сопоставимых условиях и без ухудшения безопасности.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98"/>
        <w:gridCol w:w="3033"/>
        <w:gridCol w:w="3033"/>
      </w:tblGrid>
      <w:tr>
        <w:trPr>
          <w:tblHeader/>
          <w:cantSplit/>
        </w:trPr>
        <w:tc>
          <w:tcPr>
            <w:tcW w:type="dxa" w:w="379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Показатель</w:t>
            </w:r>
          </w:p>
        </w:tc>
        <w:tc>
          <w:tcPr>
            <w:tcW w:type="dxa" w:w="3033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Исходный период</w:t>
            </w:r>
          </w:p>
        </w:tc>
        <w:tc>
          <w:tcPr>
            <w:tcW w:type="dxa" w:w="3033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Период проверки</w:t>
            </w:r>
          </w:p>
        </w:tc>
      </w:tr>
      <w:tr>
        <w:trPr>
          <w:cantSplit/>
        </w:trPr>
        <w:tc>
          <w:tcPr>
            <w:tcW w:type="dxa" w:w="37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Электроэнергия</w:t>
            </w:r>
          </w:p>
        </w:tc>
        <w:tc>
          <w:tcPr>
            <w:tcW w:type="dxa" w:w="303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2 400 кВт·ч</w:t>
            </w:r>
          </w:p>
        </w:tc>
        <w:tc>
          <w:tcPr>
            <w:tcW w:type="dxa" w:w="303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1 900 кВт·ч</w:t>
            </w:r>
          </w:p>
        </w:tc>
      </w:tr>
      <w:tr>
        <w:trPr>
          <w:cantSplit/>
        </w:trPr>
        <w:tc>
          <w:tcPr>
            <w:tcW w:type="dxa" w:w="37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Часы работы</w:t>
            </w:r>
          </w:p>
        </w:tc>
        <w:tc>
          <w:tcPr>
            <w:tcW w:type="dxa" w:w="303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120 ч</w:t>
            </w:r>
          </w:p>
        </w:tc>
        <w:tc>
          <w:tcPr>
            <w:tcW w:type="dxa" w:w="303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100 ч</w:t>
            </w:r>
          </w:p>
        </w:tc>
      </w:tr>
      <w:tr>
        <w:trPr>
          <w:cantSplit/>
        </w:trPr>
        <w:tc>
          <w:tcPr>
            <w:tcW w:type="dxa" w:w="37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Удельное потребление</w:t>
            </w:r>
          </w:p>
        </w:tc>
        <w:tc>
          <w:tcPr>
            <w:tcW w:type="dxa" w:w="303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2 400 / 120 = 20 кВт·ч/ч</w:t>
            </w:r>
          </w:p>
        </w:tc>
        <w:tc>
          <w:tcPr>
            <w:tcW w:type="dxa" w:w="303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1 900 / 100 = 19 кВт·ч/ч</w:t>
            </w:r>
          </w:p>
        </w:tc>
      </w:tr>
      <w:tr>
        <w:trPr>
          <w:cantSplit/>
        </w:trPr>
        <w:tc>
          <w:tcPr>
            <w:tcW w:type="dxa" w:w="37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Изменение общего расхода</w:t>
            </w:r>
          </w:p>
        </w:tc>
        <w:tc>
          <w:tcPr>
            <w:tcW w:type="dxa" w:w="303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—</w:t>
            </w:r>
          </w:p>
        </w:tc>
        <w:tc>
          <w:tcPr>
            <w:tcW w:type="dxa" w:w="303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(2 400 − 1 900) / 2 400 = 20,8%</w:t>
            </w:r>
          </w:p>
        </w:tc>
      </w:tr>
      <w:tr>
        <w:trPr>
          <w:cantSplit/>
        </w:trPr>
        <w:tc>
          <w:tcPr>
            <w:tcW w:type="dxa" w:w="37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Изменение удельного расхода</w:t>
            </w:r>
          </w:p>
        </w:tc>
        <w:tc>
          <w:tcPr>
            <w:tcW w:type="dxa" w:w="303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—</w:t>
            </w:r>
          </w:p>
        </w:tc>
        <w:tc>
          <w:tcPr>
            <w:tcW w:type="dxa" w:w="303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(20 − 19) / 20 = 5,0%</w:t>
            </w:r>
          </w:p>
        </w:tc>
      </w:tr>
    </w:tbl>
    <w:p>
      <w:pPr>
        <w:spacing w:after="20"/>
      </w:pPr>
    </w:p>
    <w:p>
      <w:pPr>
        <w:pStyle w:val="Heading2"/>
      </w:pPr>
      <w:r>
        <w:t>Что можно сказать</w:t>
      </w:r>
    </w:p>
    <w:p>
      <w:r>
        <w:rPr>
          <w:b w:val="0"/>
        </w:rPr>
        <w:t>В условных данных общий расход меньше на 500 кВт·ч, но часы работы также сократились. После простой нормализации по времени снижение составляет 5%. Целевой порог 18 кВт·ч/ч не достигнут: фактическое значение равно 19. Ни посещаемость, ни погода, ни состав нагрузки в этом примере не измерены.</w:t>
      </w:r>
    </w:p>
    <w:p>
      <w:pPr>
        <w:pStyle w:val="Heading2"/>
      </w:pPr>
      <w:r>
        <w:t>Чего говорить нельзя</w:t>
      </w:r>
    </w:p>
    <w:p>
      <w:r>
        <w:rPr>
          <w:b w:val="0"/>
        </w:rPr>
        <w:t>Нельзя объявлять все 20,8% подтвержденной экономией от мероприятия. Нельзя выводить финансовую экономию без тарифа и условий расчета. Нормализация только по часам недостаточна, когда существенны другие факторы; в таком случае причинный эффект остается неподтвержденным.</w:t>
      </w:r>
    </w:p>
    <w:p>
      <w:r>
        <w:rPr>
          <w:b w:val="0"/>
        </w:rPr>
        <w:t>Открытый обзор ISO 50001 используется как ориентир для постановки энергетических целей, работы с данными и проверки улучшений. Расчет здесь является собственной учебной иллюстрацией, не сертификационной процедурой. [S04]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Итог примера</w:t>
            </w:r>
          </w:p>
          <w:p>
            <w:pPr>
              <w:spacing w:after="140"/>
            </w:pPr>
            <w:r>
              <w:rPr>
                <w:sz w:val="21"/>
              </w:rPr>
              <w:t>Требование по целевому расходу — не выполнено. Причинная экономия — данных недостаточно. Следующий шаг — проверить существенные факторы и безопасные меры, а не изменить цель задним числом.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18 / ЗАПОЛНЕННЫЙ ПАСПОРТ</w:t>
      </w:r>
    </w:p>
    <w:p>
      <w:pPr>
        <w:pStyle w:val="Heading1"/>
      </w:pPr>
      <w:r>
        <w:t>Мастерская знаний: замысел и эталон</w:t>
      </w:r>
    </w:p>
    <w:p>
      <w:r>
        <w:rPr>
          <w:b w:val="0"/>
        </w:rPr>
        <w:t>Демонстрационный паспорт FEN-ET-D02-001, версия 0.1. Это проектный пример, а не сведения об открытой площадке. Назначение — научиться вести учет ресурсов, не выполняя опасных инженерных работ.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7710"/>
      </w:tblGrid>
      <w:tr>
        <w:trPr>
          <w:tblHeader/>
          <w:cantSplit/>
        </w:trPr>
        <w:tc>
          <w:tcPr>
            <w:tcW w:type="dxa" w:w="215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7710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Заполненный пример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M01 / Идентификация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«Мастерская понятного энергопотребления». Код FEN-ET-D02-001. Версия 0.1. Статус: проект.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M02 / Потребность</w:t>
            </w:r>
          </w:p>
        </w:tc>
        <w:tc>
          <w:tcPr>
            <w:tcW w:type="dxa" w:w="771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Участники хотят самостоятельно читать разрешенные показания, вести журнал и объяснять свой расчет. До набора потребность подтверждается короткой беседой.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M03 / Участники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Куратор центра — владелец задачи. Наставник — сопровождающий. Группа взрослых — исполнители. Проверяющий — не автор итогового расчета. Имена назначаются отдельно.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M04 / Границы</w:t>
            </w:r>
          </w:p>
        </w:tc>
        <w:tc>
          <w:tcPr>
            <w:tcW w:type="dxa" w:w="771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Одна согласованная площадка; журнал только разрешенных данных. Предлагаемый цикл — 12 недель. Электромонтаж, ремонт, испытания опасных устройств и доступ в электрощитовые исключены.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M05 / Направления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Основное D02. Связи D09, D15 и D18. Личные контуры по выбору: P03, P05, P06. Остальные контуры не оцениваются.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M06 / Знания</w:t>
            </w:r>
          </w:p>
        </w:tc>
        <w:tc>
          <w:tcPr>
            <w:tcW w:type="dxa" w:w="771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Понятия энергии и мощности; чтение данных; журнал; расчет; различение общего и удельного расхода; ограничения вывода. Источники и права фиксируются в карточках.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M07 / Результат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Идеальный образ: человек понимает ресурсный учет. Рабочий эталон: согласованный журнал, воспроизводимый расчет, объяснение ограничений и безопасная передача инструкции. Исходное умение проверяется учебным заданием.</w:t>
            </w:r>
          </w:p>
        </w:tc>
      </w:tr>
    </w:tbl>
    <w:p>
      <w:pPr>
        <w:spacing w:after="20"/>
      </w:pPr>
    </w:p>
    <w:p>
      <w:r>
        <w:rPr>
          <w:b w:val="0"/>
          <w:color w:val="586C78"/>
          <w:sz w:val="20"/>
        </w:rPr>
        <w:t>Численность конкретной группы, помещение, приборы и финансирование здесь не подставляются предположительно. Они входят в решение оператора после проверки доступных условий.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19 / ЗАПОЛНЕННЫЙ ПАСПОРТ</w:t>
      </w:r>
    </w:p>
    <w:p>
      <w:pPr>
        <w:pStyle w:val="Heading1"/>
      </w:pPr>
      <w:r>
        <w:t>Мастерская знаний: ресурсы и приемка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7710"/>
      </w:tblGrid>
      <w:tr>
        <w:trPr>
          <w:tblHeader/>
          <w:cantSplit/>
        </w:trPr>
        <w:tc>
          <w:tcPr>
            <w:tcW w:type="dxa" w:w="2154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7710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Заполненный пример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M08 / План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Недели 1–2: запрос и правила. 3–4: эталон и обучение. 5–8: журнал и расчет. 9–10: повторная проверка. 11–12: приемка, Архив и следующий шаг.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M09 / Ресурсы</w:t>
            </w:r>
          </w:p>
        </w:tc>
        <w:tc>
          <w:tcPr>
            <w:tcW w:type="dxa" w:w="771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Наставник; доступные материалы; разрешенный источник показаний; рабочее место; компьютер либо бумажная форма. Допустимая нагрузка согласуется лично.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M10 / Финансирование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Расходы включаются в согласованную смету общего пилота; до утверждения суммы имеют статус «не определено». Поступления и расход подтверждаются документами.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M11 / Право и безопасность</w:t>
            </w:r>
          </w:p>
        </w:tc>
        <w:tc>
          <w:tcPr>
            <w:tcW w:type="dxa" w:w="771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Согласие владельца площадки на доступ к данным; правила участия; безопасный инструктаж; режим данных. При отсутствии разрешенного доступа или возникновении опасности действие прекращается.</w:t>
            </w:r>
          </w:p>
        </w:tc>
      </w:tr>
      <w:tr>
        <w:trPr>
          <w:cantSplit/>
        </w:trPr>
        <w:tc>
          <w:tcPr>
            <w:tcW w:type="dxa" w:w="2154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M12 / Данные и доказательства</w:t>
            </w:r>
          </w:p>
        </w:tc>
        <w:tc>
          <w:tcPr>
            <w:tcW w:type="dxa" w:w="7710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Журнал с датами; единицы; описание режима; сохраненные формулы; лист критериев; замечания проверки. Личные контакты хранятся отдельно от публикуемого образца.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M13 / Приемка и продолжение</w:t>
            </w:r>
          </w:p>
        </w:tc>
        <w:tc>
          <w:tcPr>
            <w:tcW w:type="dxa" w:w="7710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 каждому требованию записывается статус и доказательство. Исправления проверяются повторно. Приемка учебного результата не подтверждает инженерную экономию или профессиональную квалификацию.</w:t>
            </w:r>
          </w:p>
        </w:tc>
      </w:tr>
    </w:tbl>
    <w:p>
      <w:pPr>
        <w:spacing w:after="20"/>
      </w:pPr>
    </w:p>
    <w:p>
      <w:pPr>
        <w:pStyle w:val="Heading2"/>
      </w:pPr>
      <w:r>
        <w:t>Пример условий приемки мастерской</w:t>
      </w:r>
    </w:p>
    <w:p>
      <w:r>
        <w:rPr>
          <w:b w:val="0"/>
        </w:rPr>
        <w:t>Журнал относится к известному объекту и периоду. Каждая величина имеет единицу и источник. Расчет повторяется по предоставленным данным. Участник объясняет ограничения. Нет неразрешенных технических действий. У публикации определены права и исключены лишние персональные данные.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Два самостоятельных результата</w:t>
            </w:r>
          </w:p>
          <w:p>
            <w:pPr>
              <w:spacing w:after="140"/>
            </w:pPr>
            <w:r>
              <w:rPr>
                <w:sz w:val="21"/>
              </w:rPr>
              <w:t>Освоение учебной задачи проверяется по работе участника. Энергетический эффект проверяется по измерениям объекта. Один результат не заменяет другой.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20 / ЦИФРОВАЯ АРХИТЕКТУРА</w:t>
      </w:r>
    </w:p>
    <w:p>
      <w:pPr>
        <w:pStyle w:val="Heading1"/>
      </w:pPr>
      <w:r>
        <w:t>Конструктор как рабочая система</w:t>
      </w:r>
    </w:p>
    <w:p>
      <w:r>
        <w:rPr>
          <w:b w:val="0"/>
        </w:rPr>
        <w:t>Первую версию можно вести в папках и таблицах, не дожидаясь сложной платформы. Цифровой интерфейс должен сохранять ту же логику: вопрос → паспорт → действие → доказательство → решение. Автоматизация не изменяет статус исходных данных.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1"/>
        <w:gridCol w:w="7313"/>
      </w:tblGrid>
      <w:tr>
        <w:trPr>
          <w:tblHeader/>
          <w:cantSplit/>
        </w:trPr>
        <w:tc>
          <w:tcPr>
            <w:tcW w:type="dxa" w:w="255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Модуль</w:t>
            </w:r>
          </w:p>
        </w:tc>
        <w:tc>
          <w:tcPr>
            <w:tcW w:type="dxa" w:w="7313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Минимальная функция</w:t>
            </w:r>
          </w:p>
        </w:tc>
      </w:tr>
      <w:tr>
        <w:trPr>
          <w:cantSplit/>
        </w:trPr>
        <w:tc>
          <w:tcPr>
            <w:tcW w:type="dxa" w:w="255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Карточка запроса</w:t>
            </w:r>
          </w:p>
        </w:tc>
        <w:tc>
          <w:tcPr>
            <w:tcW w:type="dxa" w:w="731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Выбрать объект, нужную пользу, основное D-направление и границы.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Редактор эталона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Заполнить M01–M13; привязать критерии; показать недостающие поля.</w:t>
            </w:r>
          </w:p>
        </w:tc>
      </w:tr>
      <w:tr>
        <w:trPr>
          <w:cantSplit/>
        </w:trPr>
        <w:tc>
          <w:tcPr>
            <w:tcW w:type="dxa" w:w="255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Проверки Q01–Q20</w:t>
            </w:r>
          </w:p>
        </w:tc>
        <w:tc>
          <w:tcPr>
            <w:tcW w:type="dxa" w:w="731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Собрать доказательства; назначить замечания и блокирующие условия.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Практика и ресурсы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Фиксировать работу, нагрузку, план и факт расхода.</w:t>
            </w:r>
          </w:p>
        </w:tc>
      </w:tr>
      <w:tr>
        <w:trPr>
          <w:cantSplit/>
        </w:trPr>
        <w:tc>
          <w:tcPr>
            <w:tcW w:type="dxa" w:w="255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Доказательства</w:t>
            </w:r>
          </w:p>
        </w:tc>
        <w:tc>
          <w:tcPr>
            <w:tcW w:type="dxa" w:w="731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Хранить источник, метод, дату, версию, доступ и ограничения.</w:t>
            </w:r>
          </w:p>
        </w:tc>
      </w:tr>
      <w:tr>
        <w:trPr>
          <w:cantSplit/>
        </w:trPr>
        <w:tc>
          <w:tcPr>
            <w:tcW w:type="dxa" w:w="255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Приемка и версии</w:t>
            </w:r>
          </w:p>
        </w:tc>
        <w:tc>
          <w:tcPr>
            <w:tcW w:type="dxa" w:w="7313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Сравнить факт с согласованной версией; оформить решение и пересмотр.</w:t>
            </w:r>
          </w:p>
        </w:tc>
      </w:tr>
      <w:tr>
        <w:trPr>
          <w:cantSplit/>
        </w:trPr>
        <w:tc>
          <w:tcPr>
            <w:tcW w:type="dxa" w:w="255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Архив сохранения наследия</w:t>
            </w:r>
          </w:p>
        </w:tc>
        <w:tc>
          <w:tcPr>
            <w:tcW w:type="dxa" w:w="7313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Передавать проверенные материалы с происхождением, правами и историей изменений.</w:t>
            </w:r>
          </w:p>
        </w:tc>
      </w:tr>
    </w:tbl>
    <w:p>
      <w:pPr>
        <w:spacing w:after="20"/>
      </w:pPr>
    </w:p>
    <w:p>
      <w:pPr>
        <w:pStyle w:val="Heading2"/>
      </w:pPr>
      <w:r>
        <w:t>Шесть логических реестров</w:t>
      </w:r>
    </w:p>
    <w:p>
      <w:r>
        <w:rPr>
          <w:b w:val="0"/>
        </w:rPr>
        <w:t>ET — эталоны; CR — критерии; EV — доказательства; PR — проекты и маршруты; BL — связи балансов; RV — проверки и версии. Это предлагаемые внутренние типы записей, не замена ранее созданным правовым реестрам. Для каждой записи обязательны идентификатор, владелец и дата.</w:t>
      </w:r>
    </w:p>
    <w:p>
      <w:pPr>
        <w:pStyle w:val="Heading2"/>
      </w:pPr>
      <w:r>
        <w:t>Роль ЭКВИЛИБРИУМ</w:t>
      </w:r>
    </w:p>
    <w:p>
      <w:r>
        <w:rPr>
          <w:b w:val="0"/>
        </w:rPr>
        <w:t>Предлагается использовать ЭКВИЛИБРИУМ для наблюдения за связями, качеством данных и исполнением решений. ФЕНИКС организует обучение и практику, а Архив сохраняет результаты. Это распределение функций внутри концепции; наличие работающих интеграций не утверждается.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21 / УПРАВЛЕНИЕ КАЧЕСТВОМ</w:t>
      </w:r>
    </w:p>
    <w:p>
      <w:pPr>
        <w:pStyle w:val="Heading1"/>
      </w:pPr>
      <w:r>
        <w:t>Роли, версии и исправления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855"/>
        <w:gridCol w:w="3742"/>
      </w:tblGrid>
      <w:tr>
        <w:trPr>
          <w:tblHeader/>
          <w:cantSplit/>
        </w:trPr>
        <w:tc>
          <w:tcPr>
            <w:tcW w:type="dxa" w:w="226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Роль</w:t>
            </w:r>
          </w:p>
        </w:tc>
        <w:tc>
          <w:tcPr>
            <w:tcW w:type="dxa" w:w="385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 что отвечает</w:t>
            </w:r>
          </w:p>
        </w:tc>
        <w:tc>
          <w:tcPr>
            <w:tcW w:type="dxa" w:w="3742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не делает единолично</w:t>
            </w:r>
          </w:p>
        </w:tc>
      </w:tr>
      <w:tr>
        <w:trPr>
          <w:cantSplit/>
        </w:trPr>
        <w:tc>
          <w:tcPr>
            <w:tcW w:type="dxa" w:w="226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Участник / владелец запроса</w:t>
            </w:r>
          </w:p>
        </w:tc>
        <w:tc>
          <w:tcPr>
            <w:tcW w:type="dxa" w:w="385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Потребность, выбор маршрута и пригодность результата.</w:t>
            </w:r>
          </w:p>
        </w:tc>
        <w:tc>
          <w:tcPr>
            <w:tcW w:type="dxa" w:w="374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 обязан раскрывать частную жизнь ради допуска.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Автор эталона</w:t>
            </w:r>
          </w:p>
        </w:tc>
        <w:tc>
          <w:tcPr>
            <w:tcW w:type="dxa" w:w="385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Требования, границы, метод и связь с источниками.</w:t>
            </w:r>
          </w:p>
        </w:tc>
        <w:tc>
          <w:tcPr>
            <w:tcW w:type="dxa" w:w="3742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 объявляет собственную работу независимо проверенной.</w:t>
            </w:r>
          </w:p>
        </w:tc>
      </w:tr>
      <w:tr>
        <w:trPr>
          <w:cantSplit/>
        </w:trPr>
        <w:tc>
          <w:tcPr>
            <w:tcW w:type="dxa" w:w="226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Наставник / исполнитель</w:t>
            </w:r>
          </w:p>
        </w:tc>
        <w:tc>
          <w:tcPr>
            <w:tcW w:type="dxa" w:w="385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Обучение, практика, журнал и раннее сообщение о рисках.</w:t>
            </w:r>
          </w:p>
        </w:tc>
        <w:tc>
          <w:tcPr>
            <w:tcW w:type="dxa" w:w="374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 меняет критерии после неудачной проверки.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Проверяющий</w:t>
            </w:r>
          </w:p>
        </w:tc>
        <w:tc>
          <w:tcPr>
            <w:tcW w:type="dxa" w:w="385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Проверка доказательств и мотивированное заключение.</w:t>
            </w:r>
          </w:p>
        </w:tc>
        <w:tc>
          <w:tcPr>
            <w:tcW w:type="dxa" w:w="3742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 делает выводов за пределами своей компетенции.</w:t>
            </w:r>
          </w:p>
        </w:tc>
      </w:tr>
      <w:tr>
        <w:trPr>
          <w:cantSplit/>
        </w:trPr>
        <w:tc>
          <w:tcPr>
            <w:tcW w:type="dxa" w:w="226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Оператор / куратор</w:t>
            </w:r>
          </w:p>
        </w:tc>
        <w:tc>
          <w:tcPr>
            <w:tcW w:type="dxa" w:w="385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Полномочия, безопасность, ресурсы, данные и обращения.</w:t>
            </w:r>
          </w:p>
        </w:tc>
        <w:tc>
          <w:tcPr>
            <w:tcW w:type="dxa" w:w="3742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 отменяет обязательные нормы внутренним решением.</w:t>
            </w:r>
          </w:p>
        </w:tc>
      </w:tr>
    </w:tbl>
    <w:p>
      <w:pPr>
        <w:spacing w:after="20"/>
      </w:pPr>
    </w:p>
    <w:p>
      <w:pPr>
        <w:pStyle w:val="Heading2"/>
      </w:pPr>
      <w:r>
        <w:t>Жизненный цикл записи</w:t>
      </w:r>
    </w:p>
    <w:p>
      <w:r>
        <w:rPr>
          <w:b w:val="0"/>
        </w:rPr>
        <w:t>Проект → согласован для пилота → проверен в заданных условиях → применяется с ограничениями → пересматривается → архив. Статус «проверен» относится к определенной версии, объекту и периоду. При новом применении проверяется переносимость, а не копируется заключение автоматически.</w:t>
      </w:r>
    </w:p>
    <w:p>
      <w:pPr>
        <w:pStyle w:val="Heading2"/>
      </w:pPr>
      <w:r>
        <w:t>Изменение версии</w:t>
      </w:r>
    </w:p>
    <w:p>
      <w:r>
        <w:rPr>
          <w:b w:val="0"/>
        </w:rPr>
        <w:t>Изменение цели, критерия, метода или границ требует нового согласования. Исправление опечатки отражается в журнале без подмены старого результата. Заявка содержит причину, затронутые записи, автора, решение и дату повторной проверки.</w:t>
      </w:r>
    </w:p>
    <w:p>
      <w:pPr>
        <w:pStyle w:val="Heading2"/>
      </w:pPr>
      <w:r>
        <w:t>ИИ в конструкторе</w:t>
      </w:r>
    </w:p>
    <w:p>
      <w:r>
        <w:rPr>
          <w:b w:val="0"/>
        </w:rPr>
        <w:t>Предлагаемые функции ИИ: искать пробелы, предлагать формулировки, сопоставлять версии и готовить черновики. Источники и расчеты проверяет человек. NIST AI RMF 1.0 — добровольный ориентир для управления рисками ИИ, не сертификат качества конкретной системы. [S06]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22 / РОССИЙСКАЯ ЧАСТЬ</w:t>
      </w:r>
    </w:p>
    <w:p>
      <w:pPr>
        <w:pStyle w:val="Heading1"/>
      </w:pPr>
      <w:r>
        <w:t>Правовые условия применения</w:t>
      </w:r>
    </w:p>
    <w:p>
      <w:r>
        <w:rPr>
          <w:b w:val="0"/>
        </w:rPr>
        <w:t>Конкретный режим зависит от действий оператора, типа данных, оборудования, площадки и услуги. Эта страница — навигация по вопросам подготовки, а не правовое заключение по определенной организации.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6406"/>
        <w:gridCol w:w="1531"/>
      </w:tblGrid>
      <w:tr>
        <w:trPr>
          <w:tblHeader/>
          <w:cantSplit/>
        </w:trPr>
        <w:tc>
          <w:tcPr>
            <w:tcW w:type="dxa" w:w="192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Вопрос</w:t>
            </w:r>
          </w:p>
        </w:tc>
        <w:tc>
          <w:tcPr>
            <w:tcW w:type="dxa" w:w="6406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Что проверить до запуска</w:t>
            </w:r>
          </w:p>
        </w:tc>
        <w:tc>
          <w:tcPr>
            <w:tcW w:type="dxa" w:w="153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Опорный источник</w:t>
            </w:r>
          </w:p>
        </w:tc>
      </w:tr>
      <w:tr>
        <w:trPr>
          <w:cantSplit/>
        </w:trPr>
        <w:tc>
          <w:tcPr>
            <w:tcW w:type="dxa" w:w="192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Работа с данными</w:t>
            </w:r>
          </w:p>
        </w:tc>
        <w:tc>
          <w:tcPr>
            <w:tcW w:type="dxa" w:w="640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Цель и правовое основание; достаточность собираемого объема; доступ; хранение; безопасность; права участника; режим публикации и передачи.</w:t>
            </w:r>
          </w:p>
        </w:tc>
        <w:tc>
          <w:tcPr>
            <w:tcW w:type="dxa" w:w="153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152-ФЗ. [S07]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Формат обучения</w:t>
            </w:r>
          </w:p>
        </w:tc>
        <w:tc>
          <w:tcPr>
            <w:tcW w:type="dxa" w:w="640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Разграничить просвещение, обучение по программе и оказание иных услуг; проверить лицензирование и правомерность выдаваемого документа.</w:t>
            </w:r>
          </w:p>
        </w:tc>
        <w:tc>
          <w:tcPr>
            <w:tcW w:type="dxa" w:w="153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273-ФЗ. [S08]</w:t>
            </w:r>
          </w:p>
        </w:tc>
      </w:tr>
      <w:tr>
        <w:trPr>
          <w:cantSplit/>
        </w:trPr>
        <w:tc>
          <w:tcPr>
            <w:tcW w:type="dxa" w:w="192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Измерения</w:t>
            </w:r>
          </w:p>
        </w:tc>
        <w:tc>
          <w:tcPr>
            <w:tcW w:type="dxa" w:w="640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Определить, относится ли задача к регулируемой сфере; установить требования к методу, средствам измерений и подтверждающим процедурам.</w:t>
            </w:r>
          </w:p>
        </w:tc>
        <w:tc>
          <w:tcPr>
            <w:tcW w:type="dxa" w:w="153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102-ФЗ. [S09]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Площадка и технические работы</w:t>
            </w:r>
          </w:p>
        </w:tc>
        <w:tc>
          <w:tcPr>
            <w:tcW w:type="dxa" w:w="640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Подтвердить полномочия владельца и исполнителя, допустимость работ, технические и отраслевые требования.</w:t>
            </w:r>
          </w:p>
        </w:tc>
        <w:tc>
          <w:tcPr>
            <w:tcW w:type="dxa" w:w="153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Отдельный перечень под конкретный объект.</w:t>
            </w:r>
          </w:p>
        </w:tc>
      </w:tr>
      <w:tr>
        <w:trPr>
          <w:cantSplit/>
        </w:trPr>
        <w:tc>
          <w:tcPr>
            <w:tcW w:type="dxa" w:w="192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Приемка и публикация</w:t>
            </w:r>
          </w:p>
        </w:tc>
        <w:tc>
          <w:tcPr>
            <w:tcW w:type="dxa" w:w="640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Установить, кто принимает работу; какие права передаются; что раскрывается; что остается ограниченным.</w:t>
            </w:r>
          </w:p>
        </w:tc>
        <w:tc>
          <w:tcPr>
            <w:tcW w:type="dxa" w:w="153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Договоры и применимые нормы по результату и материалам.</w:t>
            </w:r>
          </w:p>
        </w:tc>
      </w:tr>
    </w:tbl>
    <w:p>
      <w:pPr>
        <w:spacing w:after="20"/>
      </w:pPr>
    </w:p>
    <w:p>
      <w:pPr>
        <w:pStyle w:val="Heading2"/>
      </w:pPr>
      <w:r>
        <w:t>Внутренний документ не заменяет внешний статус</w:t>
      </w:r>
    </w:p>
    <w:p>
      <w:r>
        <w:rPr>
          <w:b w:val="0"/>
        </w:rPr>
        <w:t>Название «эталон», «центр» или «эволюционная система» не подтверждает регистрацию, лицензию, аккредитацию, государственную поддержку либо сертификацию. Проектный акт приемки фиксирует внутреннее решение в его границах; обязательные внешние процедуры проверяются отдельно.</w:t>
      </w:r>
    </w:p>
    <w:p>
      <w:r>
        <w:rPr>
          <w:b w:val="0"/>
          <w:color w:val="586C78"/>
          <w:sz w:val="20"/>
        </w:rPr>
        <w:t>Для реального запуска необходимо сверить применимую редакцию норм, дату вступления изменений в силу, региональные и отраслевые требования. При подготовке использованы доступные тексты законов в справочной системе; полный правовой аудит не проводился.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23 / МЕЖДУНАРОДНАЯ ЧАСТЬ</w:t>
      </w:r>
    </w:p>
    <w:p>
      <w:pPr>
        <w:pStyle w:val="Heading1"/>
      </w:pPr>
      <w:r>
        <w:t>Сопоставимость без смешения статусов</w:t>
      </w:r>
    </w:p>
    <w:p>
      <w:r>
        <w:rPr>
          <w:b w:val="0"/>
        </w:rPr>
        <w:t>Международная часть конструктора — общий язык описания знаний, требований и доказательств. Она не создает единую юрисдикцию и не подтверждает признание эталона иностранным партнером.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11"/>
        <w:gridCol w:w="4195"/>
        <w:gridCol w:w="3458"/>
      </w:tblGrid>
      <w:tr>
        <w:trPr>
          <w:tblHeader/>
          <w:cantSplit/>
        </w:trPr>
        <w:tc>
          <w:tcPr>
            <w:tcW w:type="dxa" w:w="221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Ориентир</w:t>
            </w:r>
          </w:p>
        </w:tc>
        <w:tc>
          <w:tcPr>
            <w:tcW w:type="dxa" w:w="419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Для чего используется</w:t>
            </w:r>
          </w:p>
        </w:tc>
        <w:tc>
          <w:tcPr>
            <w:tcW w:type="dxa" w:w="345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Что из этого не следует</w:t>
            </w:r>
          </w:p>
        </w:tc>
      </w:tr>
      <w:tr>
        <w:trPr>
          <w:cantSplit/>
        </w:trPr>
        <w:tc>
          <w:tcPr>
            <w:tcW w:type="dxa" w:w="221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ISO: принципы качества</w:t>
            </w:r>
          </w:p>
        </w:tc>
        <w:tc>
          <w:tcPr>
            <w:tcW w:type="dxa" w:w="419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Понимать процессы, улучшать их и опираться на данные. [S01]</w:t>
            </w:r>
          </w:p>
        </w:tc>
        <w:tc>
          <w:tcPr>
            <w:tcW w:type="dxa" w:w="345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Автоматическое соответствие стандарту или сертификация.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NASA: проверка и пригодность</w:t>
            </w:r>
          </w:p>
        </w:tc>
        <w:tc>
          <w:tcPr>
            <w:tcW w:type="dxa" w:w="419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Разделять соответствие требованиям и полезность в сценарии. [S02]</w:t>
            </w:r>
          </w:p>
        </w:tc>
        <w:tc>
          <w:tcPr>
            <w:tcW w:type="dxa" w:w="345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Обязательность всего инженерного регламента NASA.</w:t>
            </w:r>
          </w:p>
        </w:tc>
      </w:tr>
      <w:tr>
        <w:trPr>
          <w:cantSplit/>
        </w:trPr>
        <w:tc>
          <w:tcPr>
            <w:tcW w:type="dxa" w:w="221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BIPM / JCGM: метрология</w:t>
            </w:r>
          </w:p>
        </w:tc>
        <w:tc>
          <w:tcPr>
            <w:tcW w:type="dxa" w:w="419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Корректно обозначать измерения, эталоны и прослеживаемость. [S03, S10]</w:t>
            </w:r>
          </w:p>
        </w:tc>
        <w:tc>
          <w:tcPr>
            <w:tcW w:type="dxa" w:w="345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Признание проектной карточки средством метрологического обеспечения.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ISO 50001: энергоменеджмент</w:t>
            </w:r>
          </w:p>
        </w:tc>
        <w:tc>
          <w:tcPr>
            <w:tcW w:type="dxa" w:w="419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Строить цикл учета, целей и проверки энергетической работы. [S04]</w:t>
            </w:r>
          </w:p>
        </w:tc>
        <w:tc>
          <w:tcPr>
            <w:tcW w:type="dxa" w:w="345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Подтвержденная экономия или одобрение технологии.</w:t>
            </w:r>
          </w:p>
        </w:tc>
      </w:tr>
      <w:tr>
        <w:trPr>
          <w:cantSplit/>
        </w:trPr>
        <w:tc>
          <w:tcPr>
            <w:tcW w:type="dxa" w:w="221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ЮНЕСКО: открытые ресурсы</w:t>
            </w:r>
          </w:p>
        </w:tc>
        <w:tc>
          <w:tcPr>
            <w:tcW w:type="dxa" w:w="419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Учитывать права на доступ, адаптацию и обмен учебными материалами. [S05]</w:t>
            </w:r>
          </w:p>
        </w:tc>
        <w:tc>
          <w:tcPr>
            <w:tcW w:type="dxa" w:w="345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Свобода копирования любого найденного материала.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NIST AI RMF 1.0</w:t>
            </w:r>
          </w:p>
        </w:tc>
        <w:tc>
          <w:tcPr>
            <w:tcW w:type="dxa" w:w="419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Организовать рассмотрение рисков применения ИИ. [S06]</w:t>
            </w:r>
          </w:p>
        </w:tc>
        <w:tc>
          <w:tcPr>
            <w:tcW w:type="dxa" w:w="345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Юридическая гарантия либо одобрение конкретного продукта.</w:t>
            </w:r>
          </w:p>
        </w:tc>
      </w:tr>
    </w:tbl>
    <w:p>
      <w:pPr>
        <w:spacing w:after="20"/>
      </w:pPr>
    </w:p>
    <w:p>
      <w:pPr>
        <w:pStyle w:val="Heading2"/>
      </w:pPr>
      <w:r>
        <w:t>Карточка обмена с партнером</w:t>
      </w:r>
    </w:p>
    <w:p>
      <w:r>
        <w:rPr>
          <w:b w:val="0"/>
        </w:rPr>
        <w:t>Указываются страна и стороны, назначение материала, версия, язык, единицы, метод, условия повторения, права использования, режим данных и порядок признания результата. Отличия местных условий фиксируются приложением. При юридически значимом сотрудничестве отдельно проверяется право обеих сторон и конкретной операции.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Правило обмена</w:t>
            </w:r>
          </w:p>
          <w:p>
            <w:pPr>
              <w:spacing w:after="140"/>
            </w:pPr>
            <w:r>
              <w:rPr>
                <w:sz w:val="21"/>
              </w:rPr>
              <w:t>Передается не только образец результата, но и условия, при которых он получен. Повторная проверка в новом контексте остается необходимым проектным шагом.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24 / ВНЕДРЕНИЕ</w:t>
      </w:r>
    </w:p>
    <w:p>
      <w:pPr>
        <w:pStyle w:val="Heading1"/>
      </w:pPr>
      <w:r>
        <w:t>Пилот конструктора на 12 недель</w:t>
      </w:r>
    </w:p>
    <w:p>
      <w:r>
        <w:rPr>
          <w:b w:val="0"/>
        </w:rPr>
        <w:t>Модуль встраивается в ранее предложенный сценарий ФЕНИКС: 3 центра, 60 участников, 6 наставников и 6 проектов. Эти параметры остаются расчетной моделью, а не подтвержденным набором. Новая сеть и дополнительный бюджет автоматически не предполагаются.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4139"/>
        <w:gridCol w:w="4025"/>
      </w:tblGrid>
      <w:tr>
        <w:trPr>
          <w:tblHeader/>
          <w:cantSplit/>
        </w:trPr>
        <w:tc>
          <w:tcPr>
            <w:tcW w:type="dxa" w:w="170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Период</w:t>
            </w:r>
          </w:p>
        </w:tc>
        <w:tc>
          <w:tcPr>
            <w:tcW w:type="dxa" w:w="413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Работа</w:t>
            </w:r>
          </w:p>
        </w:tc>
        <w:tc>
          <w:tcPr>
            <w:tcW w:type="dxa" w:w="402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Проверяемый выход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Недели 1–2</w:t>
            </w:r>
          </w:p>
        </w:tc>
        <w:tc>
          <w:tcPr>
            <w:tcW w:type="dxa" w:w="413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Назначить оператора и ответственных; подтвердить запросы, площадки, данные и безопасные задачи.</w:t>
            </w:r>
          </w:p>
        </w:tc>
        <w:tc>
          <w:tcPr>
            <w:tcW w:type="dxa" w:w="402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6 заявок; карта ограничений; решение о готовности подготовки.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Недели 3–4</w:t>
            </w:r>
          </w:p>
        </w:tc>
        <w:tc>
          <w:tcPr>
            <w:tcW w:type="dxa" w:w="413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Подготовить паспорта, критерии и источники; провести учебный разбор.</w:t>
            </w:r>
          </w:p>
        </w:tc>
        <w:tc>
          <w:tcPr>
            <w:tcW w:type="dxa" w:w="402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6 версий эталонов; исходные задания; Q01–Q20.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Недели 5–8</w:t>
            </w:r>
          </w:p>
        </w:tc>
        <w:tc>
          <w:tcPr>
            <w:tcW w:type="dxa" w:w="413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Выполнить ограниченные работы; вести журналы; разбирать затруднения.</w:t>
            </w:r>
          </w:p>
        </w:tc>
        <w:tc>
          <w:tcPr>
            <w:tcW w:type="dxa" w:w="402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Первичные данные и образцы; фактические расходы; замечания.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Недели 9–10</w:t>
            </w:r>
          </w:p>
        </w:tc>
        <w:tc>
          <w:tcPr>
            <w:tcW w:type="dxa" w:w="413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Повторить проверку, включая пользователя и неавторскую проверку.</w:t>
            </w:r>
          </w:p>
        </w:tc>
        <w:tc>
          <w:tcPr>
            <w:tcW w:type="dxa" w:w="402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Статусы критериев; ограничения; перечень исправлений.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Недели 11–12</w:t>
            </w:r>
          </w:p>
        </w:tc>
        <w:tc>
          <w:tcPr>
            <w:tcW w:type="dxa" w:w="413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Оформить приемку либо доработку; сохранить опыт и определить следующий цикл.</w:t>
            </w:r>
          </w:p>
        </w:tc>
        <w:tc>
          <w:tcPr>
            <w:tcW w:type="dxa" w:w="402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6 протоколов; архивные карточки; решение о повторении или завершении.</w:t>
            </w:r>
          </w:p>
        </w:tc>
      </w:tr>
    </w:tbl>
    <w:p>
      <w:pPr>
        <w:spacing w:after="20"/>
      </w:pPr>
    </w:p>
    <w:p>
      <w:pPr>
        <w:pStyle w:val="Heading2"/>
      </w:pPr>
      <w:r>
        <w:t>Предлагаемые критерии работоспособности модуля</w:t>
      </w:r>
    </w:p>
    <w:p>
      <w:r>
        <w:rPr>
          <w:b w:val="0"/>
        </w:rPr>
        <w:t>Для всех 6 выбранных проектов есть паспорт, критерии и именованный ответственный. Для каждого значимого вывода доступно доказательство либо прямо указан его недостаток. Все блокирующие замечания разобраны; число инцидентов не скрывается. Хотя бы один результат повторяется другим исполнителем в заявленных условиях; это гипотеза для пилота, не обещанный итог.</w:t>
      </w:r>
    </w:p>
    <w:p>
      <w:pPr>
        <w:pStyle w:val="Heading2"/>
      </w:pPr>
      <w:r>
        <w:t>Основание для продолжения</w:t>
      </w:r>
    </w:p>
    <w:p>
      <w:r>
        <w:rPr>
          <w:b w:val="0"/>
        </w:rPr>
        <w:t>Учитываются воспроизводимость методики, фактическая нагрузка, причины выхода участников, качество обратной связи и закрытие рисков. Большое число заполненных форм само по себе не свидетельствует об улучшении. Решение может быть «продолжить», «упростить», «повторить» или «завершить».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25 / РАБОЧАЯ ФОРМА F-ET-01</w:t>
      </w:r>
    </w:p>
    <w:p>
      <w:pPr>
        <w:pStyle w:val="Heading1"/>
      </w:pPr>
      <w:r>
        <w:t>Паспорт эталона — замысел</w:t>
      </w:r>
    </w:p>
    <w:p>
      <w:r>
        <w:rPr>
          <w:b w:val="0"/>
          <w:sz w:val="20"/>
        </w:rPr>
        <w:t>Название проекта: ______________________________  Код: __________________  Версия: __________</w:t>
      </w:r>
    </w:p>
    <w:p>
      <w:r>
        <w:rPr>
          <w:b w:val="0"/>
          <w:sz w:val="20"/>
        </w:rPr>
        <w:t>Статус: проект / согласован для пилота / проверен / пересмотр / архив. Владелец: 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rPr>
          <w:tblHeader/>
          <w:cantSplit/>
        </w:trPr>
        <w:tc>
          <w:tcPr>
            <w:tcW w:type="dxa" w:w="209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7767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Для заполнения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M01 / Идентификация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Название, код, версия, дата и статус эталона.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M02 / Потребность</w:t>
            </w:r>
          </w:p>
        </w:tc>
        <w:tc>
          <w:tcPr>
            <w:tcW w:type="dxa" w:w="776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Чья задача решается, какую пользу ожидают и чем подтвержден запрос.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M03 / Участники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Оператор, владелец задачи, исполнители, наставник и проверяющий.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M04 / Границы</w:t>
            </w:r>
          </w:p>
        </w:tc>
        <w:tc>
          <w:tcPr>
            <w:tcW w:type="dxa" w:w="776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Объект, территория, группа, период, условия использования и исключения.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M05 / Направления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Один основной D01–D19, связанные направления и выбранные личные контуры P01–P13.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M06 / Знания</w:t>
            </w:r>
          </w:p>
        </w:tc>
        <w:tc>
          <w:tcPr>
            <w:tcW w:type="dxa" w:w="776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Нужные умения, источники, методика, наставничество и права на материалы.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M07 / Результат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Идеальный образ, рабочий эталон, исходное состояние и критерии приемки.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</w:tbl>
    <w:p>
      <w:pPr>
        <w:spacing w:after="20"/>
      </w:pPr>
    </w:p>
    <w:p>
      <w:r>
        <w:rPr>
          <w:b w:val="0"/>
          <w:color w:val="586C78"/>
          <w:sz w:val="18"/>
        </w:rPr>
        <w:t>Неизвестное отмечается «не определено». Для неприменимого поля указывается причина. Доказательства и согласования прикладываются по идентификаторам.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26 / РАБОЧАЯ ФОРМА F-ET-01</w:t>
      </w:r>
    </w:p>
    <w:p>
      <w:pPr>
        <w:pStyle w:val="Heading1"/>
      </w:pPr>
      <w:r>
        <w:t>Паспорт эталона — выполнение</w:t>
      </w:r>
    </w:p>
    <w:p>
      <w:r>
        <w:rPr>
          <w:b w:val="0"/>
          <w:sz w:val="20"/>
        </w:rPr>
        <w:t>Название проекта: ______________________________  Код: __________________  Версия: __________</w:t>
      </w:r>
    </w:p>
    <w:p>
      <w:r>
        <w:rPr>
          <w:b w:val="0"/>
          <w:sz w:val="20"/>
        </w:rPr>
        <w:t>Статус: проект / согласован для пилота / проверен / пересмотр / архив. Владелец: 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98"/>
        <w:gridCol w:w="7767"/>
      </w:tblGrid>
      <w:tr>
        <w:trPr>
          <w:tblHeader/>
          <w:cantSplit/>
        </w:trPr>
        <w:tc>
          <w:tcPr>
            <w:tcW w:type="dxa" w:w="209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7767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Для заполнения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M08 / План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Шаги, сроки, контрольные точки, зависимости и условия перехода.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M09 / Ресурсы</w:t>
            </w:r>
          </w:p>
        </w:tc>
        <w:tc>
          <w:tcPr>
            <w:tcW w:type="dxa" w:w="776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Время людей, площадка, материалы, оборудование и физическая энергия раздельно.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M10 / Финансирование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План и факт расходов, источник, полномочия расходования и документы.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M11 / Право и безопасность</w:t>
            </w:r>
          </w:p>
        </w:tc>
        <w:tc>
          <w:tcPr>
            <w:tcW w:type="dxa" w:w="776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Основания работ, доступность, риски, допуски и критерии остановки.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M12 / Данные и доказательства</w:t>
            </w:r>
          </w:p>
        </w:tc>
        <w:tc>
          <w:tcPr>
            <w:tcW w:type="dxa" w:w="7767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Источники, единицы, методы, качество, доступ, хранение и ограничения вывода.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209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M13 / Приемка и продолжение</w:t>
            </w:r>
          </w:p>
        </w:tc>
        <w:tc>
          <w:tcPr>
            <w:tcW w:type="dxa" w:w="776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Кто проверил, что принято, что не доказано, срок пересмотра и следующий цикл.</w:t>
              <w:br/>
              <w:br/>
              <w:t>_________________________________________________________________</w:t>
              <w:br/>
              <w:t>_________________________________________________________________</w:t>
            </w:r>
          </w:p>
        </w:tc>
      </w:tr>
    </w:tbl>
    <w:p>
      <w:pPr>
        <w:spacing w:after="20"/>
      </w:pPr>
    </w:p>
    <w:p>
      <w:r>
        <w:rPr>
          <w:b w:val="0"/>
          <w:color w:val="586C78"/>
          <w:sz w:val="18"/>
        </w:rPr>
        <w:t>Неизвестное отмечается «не определено». Для неприменимого поля указывается причина. Доказательства и согласования прикладываются по идентификаторам.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27 / РАБОЧИЕ ФОРМЫ F-ET-02 И F-ET-03</w:t>
      </w:r>
    </w:p>
    <w:p>
      <w:pPr>
        <w:pStyle w:val="Heading1"/>
      </w:pPr>
      <w:r>
        <w:t>Критерий и протокол проверки</w:t>
      </w:r>
    </w:p>
    <w:p>
      <w:pPr>
        <w:pStyle w:val="Heading2"/>
      </w:pPr>
      <w:r>
        <w:t>F-ET-02 / Карточка критерия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96"/>
      </w:tblGrid>
      <w:tr>
        <w:trPr>
          <w:tblHeader/>
          <w:cantSplit/>
        </w:trPr>
        <w:tc>
          <w:tcPr>
            <w:tcW w:type="dxa" w:w="396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Поле</w:t>
            </w:r>
          </w:p>
        </w:tc>
        <w:tc>
          <w:tcPr>
            <w:tcW w:type="dxa" w:w="5896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Заполнение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Код критерия; эталон; версия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Объект и проверяемое свойство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Группа: обязательное / приемка / улучшение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Исходное состояние; источник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Цель; единица; условия и период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Метод; правило решения; неопределенность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Доказательство; ответственный; дата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________________________________________________</w:t>
              <w:br/>
              <w:t>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</w:pPr>
      <w:r>
        <w:t>F-ET-03 / Протокол приемки</w:t>
      </w:r>
    </w:p>
    <w:p>
      <w:r>
        <w:rPr>
          <w:b w:val="0"/>
          <w:sz w:val="20"/>
        </w:rPr>
        <w:t>Объект: _____________________  Эталон и версия: _____________________  Дата: 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3458"/>
        <w:gridCol w:w="1871"/>
        <w:gridCol w:w="2835"/>
      </w:tblGrid>
      <w:tr>
        <w:trPr>
          <w:tblHeader/>
          <w:cantSplit/>
        </w:trPr>
        <w:tc>
          <w:tcPr>
            <w:tcW w:type="dxa" w:w="170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Критерий</w:t>
            </w:r>
          </w:p>
        </w:tc>
        <w:tc>
          <w:tcPr>
            <w:tcW w:type="dxa" w:w="3458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Факт / доказательство</w:t>
            </w:r>
          </w:p>
        </w:tc>
        <w:tc>
          <w:tcPr>
            <w:tcW w:type="dxa" w:w="1871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2835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19"/>
              </w:rPr>
              <w:t>Замечание / срок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</w:t>
            </w:r>
          </w:p>
        </w:tc>
        <w:tc>
          <w:tcPr>
            <w:tcW w:type="dxa" w:w="345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</w:t>
            </w:r>
          </w:p>
        </w:tc>
        <w:tc>
          <w:tcPr>
            <w:tcW w:type="dxa" w:w="187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</w:t>
            </w:r>
          </w:p>
        </w:tc>
        <w:tc>
          <w:tcPr>
            <w:tcW w:type="dxa" w:w="28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</w:t>
            </w:r>
          </w:p>
        </w:tc>
        <w:tc>
          <w:tcPr>
            <w:tcW w:type="dxa" w:w="345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</w:t>
            </w:r>
          </w:p>
        </w:tc>
        <w:tc>
          <w:tcPr>
            <w:tcW w:type="dxa" w:w="187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</w:t>
            </w:r>
          </w:p>
        </w:tc>
        <w:tc>
          <w:tcPr>
            <w:tcW w:type="dxa" w:w="28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170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</w:t>
            </w:r>
          </w:p>
        </w:tc>
        <w:tc>
          <w:tcPr>
            <w:tcW w:type="dxa" w:w="3458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</w:t>
            </w:r>
          </w:p>
        </w:tc>
        <w:tc>
          <w:tcPr>
            <w:tcW w:type="dxa" w:w="1871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</w:t>
            </w:r>
          </w:p>
        </w:tc>
        <w:tc>
          <w:tcPr>
            <w:tcW w:type="dxa" w:w="2835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</w:t>
            </w:r>
          </w:p>
        </w:tc>
        <w:tc>
          <w:tcPr>
            <w:tcW w:type="dxa" w:w="3458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____________________</w:t>
            </w:r>
          </w:p>
        </w:tc>
        <w:tc>
          <w:tcPr>
            <w:tcW w:type="dxa" w:w="1871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</w:t>
            </w:r>
          </w:p>
        </w:tc>
        <w:tc>
          <w:tcPr>
            <w:tcW w:type="dxa" w:w="2835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19"/>
              </w:rPr>
              <w:t>__________________</w:t>
            </w:r>
          </w:p>
        </w:tc>
      </w:tr>
    </w:tbl>
    <w:p>
      <w:pPr>
        <w:spacing w:after="20"/>
      </w:pPr>
    </w:p>
    <w:p>
      <w:r>
        <w:rPr>
          <w:b w:val="0"/>
          <w:color w:val="586C78"/>
          <w:sz w:val="19"/>
        </w:rPr>
        <w:t>Статусы: выполнено / не выполнено / данных недостаточно / неприменимо с обоснованием.</w:t>
      </w:r>
    </w:p>
    <w:p>
      <w:r>
        <w:rPr>
          <w:b w:val="0"/>
          <w:sz w:val="20"/>
        </w:rPr>
        <w:t>Решение и область применения: __________________________________________________________</w:t>
        <w:br/>
        <w:t>Ограничения и причины: __________________________________________________________________</w:t>
        <w:br/>
        <w:t>Проверяющий: __________________________  Участник / владелец задачи: ______________________</w:t>
        <w:br/>
        <w:t>Канал пересмотра и дата повторной проверки: ______________________________________________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28 / РАБОЧИЕ ФОРМЫ F-ET-04 И F-ET-05</w:t>
      </w:r>
    </w:p>
    <w:p>
      <w:pPr>
        <w:pStyle w:val="Heading1"/>
      </w:pPr>
      <w:r>
        <w:t>Изменение версии и связанный баланс</w:t>
      </w:r>
    </w:p>
    <w:p>
      <w:pPr>
        <w:pStyle w:val="Heading2"/>
      </w:pPr>
      <w:r>
        <w:t>F-ET-04 / Заявка на изменение эталона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96"/>
      </w:tblGrid>
      <w:tr>
        <w:trPr>
          <w:tblHeader/>
          <w:cantSplit/>
        </w:trPr>
        <w:tc>
          <w:tcPr>
            <w:tcW w:type="dxa" w:w="396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5896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Заполнение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Код; исходная версия; автор; дата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Что меняется и почему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  <w:br/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Какие требования и связи затронуты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Риски переноса и нужная повторная проверка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  <w:br/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Кто согласовал; новая версия; дата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</w:tbl>
    <w:p>
      <w:pPr>
        <w:spacing w:after="20"/>
      </w:pPr>
    </w:p>
    <w:p>
      <w:pPr>
        <w:pStyle w:val="Heading2"/>
      </w:pPr>
      <w:r>
        <w:t>F-ET-05 / Карточка связи балансов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896"/>
      </w:tblGrid>
      <w:tr>
        <w:trPr>
          <w:tblHeader/>
          <w:cantSplit/>
        </w:trPr>
        <w:tc>
          <w:tcPr>
            <w:tcW w:type="dxa" w:w="3969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Поле</w:t>
            </w:r>
          </w:p>
        </w:tc>
        <w:tc>
          <w:tcPr>
            <w:tcW w:type="dxa" w:w="5896"/>
            <w:shd w:fill="16354A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Заполнение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Проект; основной D-код; связанный D-код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Объект, период, единицы и исходный источник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Потребность → ресурс → действие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Цель и фактическое изменение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Побочный эффект и доказательство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Двойной учет исключен как</w:t>
            </w:r>
          </w:p>
        </w:tc>
        <w:tc>
          <w:tcPr>
            <w:tcW w:type="dxa" w:w="5896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  <w:tr>
        <w:trPr>
          <w:cantSplit/>
        </w:trPr>
        <w:tc>
          <w:tcPr>
            <w:tcW w:type="dxa" w:w="3969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Решение; ответственный; следующий срок</w:t>
            </w:r>
          </w:p>
        </w:tc>
        <w:tc>
          <w:tcPr>
            <w:tcW w:type="dxa" w:w="5896"/>
            <w:shd w:fill="F2F7F7"/>
            <w:vAlign w:val="center"/>
            <w:tcMar>
              <w:top w:w="75" w:type="dxa"/>
              <w:bottom w:w="75" w:type="dxa"/>
              <w:left w:w="100" w:type="dxa"/>
              <w:right w:w="100" w:type="dxa"/>
            </w:tcMar>
          </w:tcPr>
          <w:p>
            <w:pPr>
              <w:spacing w:after="40" w:before="0" w:line="250" w:lineRule="auto"/>
            </w:pPr>
            <w:r>
              <w:rPr>
                <w:rFonts w:ascii="Arial" w:hAnsi="Arial"/>
                <w:sz w:val="20"/>
              </w:rPr>
              <w:t>________________________________________________</w:t>
              <w:br/>
              <w:t>________________________________________________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6"/>
            <w:shd w:fill="FCF5EB"/>
          </w:tcPr>
          <w:p>
            <w:pPr>
              <w:spacing w:before="140" w:after="100"/>
            </w:pPr>
            <w:r/>
            <w:r>
              <w:rPr>
                <w:b/>
                <w:color w:val="197D78"/>
                <w:sz w:val="22"/>
              </w:rPr>
              <w:t>Минимальный комплект</w:t>
            </w:r>
          </w:p>
          <w:p>
            <w:pPr>
              <w:spacing w:after="140"/>
            </w:pPr>
            <w:r>
              <w:rPr>
                <w:sz w:val="21"/>
              </w:rPr>
              <w:t>Паспорт + критерии + первичные доказательства + протокол. Формы изменений и связей добавляются по необходимости. Не нужно создавать документооборот больше самой задачи.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29 / ИСТОЧНИКИ</w:t>
      </w:r>
    </w:p>
    <w:p>
      <w:pPr>
        <w:pStyle w:val="Heading1"/>
      </w:pPr>
      <w:r>
        <w:t>Методическая и правовая опора</w:t>
      </w:r>
    </w:p>
    <w:p>
      <w:r>
        <w:rPr>
          <w:b w:val="0"/>
          <w:color w:val="586C78"/>
          <w:sz w:val="20"/>
        </w:rPr>
        <w:t>Дата подготовки и обращения к доступным страницам: 17 сентября 2026 года. Ссылки уточняют понятия. Архитектура 13 / 19 / 20, формы, примеры и внутренние процедуры — проектные предложения ФЕНИКС, а не требования перечисленных организаций.</w:t>
      </w:r>
    </w:p>
    <w:p>
      <w:pPr>
        <w:pStyle w:val="Heading2"/>
      </w:pPr>
      <w:r>
        <w:t>S01 / ISO. Quality management principles</w:t>
      </w:r>
    </w:p>
    <w:p>
      <w:r>
        <w:rPr>
          <w:b w:val="0"/>
          <w:sz w:val="20"/>
        </w:rPr>
        <w:t>Методический ориентир: процессный подход, улучшение и решения на основе данных. Используется открытое описание принципов, а не полный текст стандарта и не заявление о сертификации.</w:t>
      </w:r>
    </w:p>
    <w:p>
      <w:pPr>
        <w:spacing w:after="180"/>
      </w:pPr>
      <w:hyperlink r:id="rId12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S02 / NASA. Systems Engineering Handbook, § 5.0 Product Realization</w:t>
      </w:r>
    </w:p>
    <w:p>
      <w:r>
        <w:rPr>
          <w:b w:val="0"/>
          <w:sz w:val="20"/>
        </w:rPr>
        <w:t>Различение проверки соответствия требованиям и проверки пригодности результата для реального применения. Отраслевой инженерный источник; его правила не становятся обязательными для ФЕНИКС автоматически.</w:t>
      </w:r>
    </w:p>
    <w:p>
      <w:pPr>
        <w:spacing w:after="180"/>
      </w:pPr>
      <w:hyperlink r:id="rId13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S03 / JCGM / BIPM. VIM, § 5.1 Measurement standard</w:t>
      </w:r>
    </w:p>
    <w:p>
      <w:r>
        <w:rPr>
          <w:b w:val="0"/>
          <w:sz w:val="20"/>
        </w:rPr>
        <w:t>Техническое значение эталона в метрологии. Проектный эталон ФЕНИКС не объявляется эталоном единицы величины.</w:t>
      </w:r>
    </w:p>
    <w:p>
      <w:pPr>
        <w:spacing w:after="180"/>
      </w:pPr>
      <w:hyperlink r:id="rId14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S04 / ISO. ISO 50001 — Energy management</w:t>
      </w:r>
    </w:p>
    <w:p>
      <w:r>
        <w:rPr>
          <w:b w:val="0"/>
          <w:sz w:val="20"/>
        </w:rPr>
        <w:t>Открытый обзор энергоменеджмента: данные, цели, измерение и улучшение. Приведенные в комплекте числа — учебный пример, а не подтвержденная экономия.</w:t>
      </w:r>
    </w:p>
    <w:p>
      <w:pPr>
        <w:spacing w:after="180"/>
      </w:pPr>
      <w:hyperlink r:id="rId15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S05 / ЮНЕСКО. Recommendation on Open Educational Resources, 2019</w:t>
      </w:r>
    </w:p>
    <w:p>
      <w:r>
        <w:rPr>
          <w:b w:val="0"/>
          <w:sz w:val="20"/>
        </w:rPr>
        <w:t>Образовательные материалы в общественном достоянии либо под открытой лицензией. Условия доступа, перевода и повторного использования нужно проверять у конкретного материала.</w:t>
      </w:r>
    </w:p>
    <w:p>
      <w:pPr>
        <w:spacing w:after="180"/>
      </w:pPr>
      <w:hyperlink r:id="rId16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О статусе материалов</w:t>
      </w:r>
    </w:p>
    <w:p>
      <w:r>
        <w:rPr>
          <w:b w:val="0"/>
          <w:sz w:val="20"/>
        </w:rPr>
        <w:t>Использованы открытые официальные методические страницы международных организаций и тексты законов в справочной системе. Полные платные стандарты не воспроизводились. Ссылки не означают партнерства, проверки проекта указанной организацией или ее одобрения.</w:t>
      </w:r>
    </w:p>
    <w:p>
      <w:r>
        <w:br w:type="page"/>
      </w:r>
    </w:p>
    <w:p>
      <w:pPr>
        <w:spacing w:after="120"/>
      </w:pPr>
      <w:r>
        <w:rPr>
          <w:b/>
          <w:color w:val="C85B22"/>
          <w:sz w:val="18"/>
        </w:rPr>
        <w:t>30 / ИСТОЧНИКИ</w:t>
      </w:r>
    </w:p>
    <w:p>
      <w:pPr>
        <w:pStyle w:val="Heading1"/>
      </w:pPr>
      <w:r>
        <w:t>Источники и преемственность</w:t>
      </w:r>
    </w:p>
    <w:p>
      <w:r>
        <w:rPr>
          <w:b w:val="0"/>
          <w:color w:val="586C78"/>
          <w:sz w:val="20"/>
        </w:rPr>
        <w:t>Дата подготовки и обращения к доступным страницам: 17 сентября 2026 года. Ссылки уточняют понятия. Архитектура 13 / 19 / 20, формы, примеры и внутренние процедуры — проектные предложения ФЕНИКС, а не требования перечисленных организаций.</w:t>
      </w:r>
    </w:p>
    <w:p>
      <w:pPr>
        <w:pStyle w:val="Heading2"/>
      </w:pPr>
      <w:r>
        <w:t>S06 / NIST. Artificial Intelligence Risk Management Framework (AI RMF 1.0), 2023</w:t>
      </w:r>
    </w:p>
    <w:p>
      <w:r>
        <w:rPr>
          <w:b w:val="0"/>
          <w:sz w:val="20"/>
        </w:rPr>
        <w:t>Добровольная рамка управления рисками ИИ. В комплекте используется названная версия как методический ориентир, без заявления о соответствии или одобрении NIST.</w:t>
      </w:r>
    </w:p>
    <w:p>
      <w:pPr>
        <w:spacing w:after="180"/>
      </w:pPr>
      <w:hyperlink r:id="rId17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S07 / Федеральный закон от 27.07.2006 № 152-ФЗ «О персональных данных»</w:t>
      </w:r>
    </w:p>
    <w:p>
      <w:r>
        <w:rPr>
          <w:b w:val="0"/>
          <w:sz w:val="20"/>
        </w:rPr>
        <w:t>Доступный текст закона в справочной правовой системе. Для запуска проверяются цель и основание обработки, права участников, безопасность и режим передачи данных.</w:t>
      </w:r>
    </w:p>
    <w:p>
      <w:pPr>
        <w:spacing w:after="180"/>
      </w:pPr>
      <w:hyperlink r:id="rId18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S08 / Федеральный закон от 29.12.2012 № 273-ФЗ «Об образовании в Российской Федерации»</w:t>
      </w:r>
    </w:p>
    <w:p>
      <w:r>
        <w:rPr>
          <w:b w:val="0"/>
          <w:sz w:val="20"/>
        </w:rPr>
        <w:t>Доступный текст закона в справочной правовой системе. Просвещение, образовательная деятельность, лицензирование и документы об образовании различаются; применимость зависит от фактического формата.</w:t>
      </w:r>
    </w:p>
    <w:p>
      <w:pPr>
        <w:spacing w:after="180"/>
      </w:pPr>
      <w:hyperlink r:id="rId19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S09 / Федеральный закон от 26.06.2008 № 102-ФЗ «Об обеспечении единства измерений»</w:t>
      </w:r>
    </w:p>
    <w:p>
      <w:r>
        <w:rPr>
          <w:b w:val="0"/>
          <w:sz w:val="20"/>
        </w:rPr>
        <w:t>Доступный текст закона в справочной правовой системе. Проверяются сфера государственного регулирования, методы и средства измерений и требуемые процедуры; проектная карточка их не заменяет.</w:t>
      </w:r>
    </w:p>
    <w:p>
      <w:pPr>
        <w:spacing w:after="180"/>
      </w:pPr>
      <w:hyperlink r:id="rId20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S10 / JCGM / BIPM. VIM, § 2.41 Metrological traceability</w:t>
      </w:r>
    </w:p>
    <w:p>
      <w:r>
        <w:rPr>
          <w:b w:val="0"/>
          <w:sz w:val="20"/>
        </w:rPr>
        <w:t>Метрологическая прослеживаемость результата измерения и цепь калибровок с вкладом в неопределенность. Не тождественна ссылке на файл или истории изменений документа.</w:t>
      </w:r>
    </w:p>
    <w:p>
      <w:pPr>
        <w:spacing w:after="180"/>
      </w:pPr>
      <w:hyperlink r:id="rId21">
        <w:r>
          <w:rPr>
            <w:color w:val="197D78"/>
            <w:u w:val="single"/>
          </w:rPr>
          <w:t>Открыть источник</w:t>
        </w:r>
      </w:hyperlink>
    </w:p>
    <w:p>
      <w:pPr>
        <w:pStyle w:val="Heading2"/>
      </w:pPr>
      <w:r>
        <w:t>Внутренняя основа</w:t>
      </w:r>
    </w:p>
    <w:p>
      <w:r>
        <w:rPr>
          <w:b w:val="0"/>
          <w:sz w:val="20"/>
        </w:rPr>
        <w:t>«ФЕНИКС — Эволюционная система. Знания и энергия», рабочая концепция 1.0; файл Fenix_Evolution_Program_v1.docx, предоставленный в этой работе. Из него сохранены D01–D19, P01–P13, последовательность 13 разделов и модель пилота. Изображение Феникса взято из ранее подготовленной иллюстрации пользователя; использован фрагмент без текстовых обещаний.</w:t>
      </w:r>
    </w:p>
    <w:p>
      <w:r>
        <w:rPr>
          <w:b w:val="0"/>
          <w:color w:val="586C78"/>
          <w:sz w:val="20"/>
        </w:rPr>
        <w:t>Готовность к применению подтверждается для конкретного оператора и проекта. Не определенные в документе реквизиты, полномочия, источники средств и партнерства не считаются установленными.</w:t>
      </w:r>
    </w:p>
    <w:sectPr w:rsidR="00FC693F" w:rsidRPr="0006063C" w:rsidSect="00034616">
      <w:headerReference w:type="default" r:id="rId9"/>
      <w:footerReference w:type="default" r:id="rId10"/>
      <w:footerReference w:type="first" r:id="rId22"/>
      <w:footerReference w:type="even" r:id="rId23"/>
      <w:pgSz w:w="11906" w:h="16838"/>
      <w:pgMar w:top="992" w:right="1020" w:bottom="935" w:left="1020" w:header="397" w:footer="39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86C78"/>
        <w:sz w:val="16"/>
      </w:rPr>
      <w:t xml:space="preserve">Конструктор идеального эталона  •  v1.0  |  </w:t>
    </w:r>
    <w:fldSimple w:instr="PAGE"/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60" w:after="0"/>
      <w:jc w:val="center"/>
    </w:pPr>
    <w:hyperlink r:id="rId1">
      <w:r>
        <w:rPr>
          <w:color w:val="526651"/>
          <w:sz w:val="18"/>
          <w:u w:val="single"/>
        </w:rPr>
        <w:t>ФЕНИКС · fenix-city.com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C85B22"/>
        <w:sz w:val="16"/>
      </w:rPr>
      <w:t>ФЕНИКС   /   ЭВОЛЮЦИОННАЯ СИСТЕМА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6354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6354A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1635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16354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6354A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264" w:lineRule="auto"/>
    </w:pPr>
    <w:rPr>
      <w:rFonts w:ascii="Arial" w:hAnsi="Arial"/>
      <w:color w:val="16354A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4" w:lineRule="auto"/>
      <w:contextualSpacing/>
    </w:pPr>
    <w:rPr>
      <w:rFonts w:ascii="Arial" w:hAnsi="Arial"/>
      <w:color w:val="16354A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20" w:line="264" w:lineRule="auto"/>
      <w:contextualSpacing/>
    </w:pPr>
    <w:rPr>
      <w:rFonts w:ascii="Arial" w:hAnsi="Arial"/>
      <w:color w:val="16354A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586C78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www.iso.org/quality-management/principles" TargetMode="External"/><Relationship Id="rId13" Type="http://schemas.openxmlformats.org/officeDocument/2006/relationships/hyperlink" Target="https://www.nasa.gov/reference/5-0-product-realization/" TargetMode="External"/><Relationship Id="rId14" Type="http://schemas.openxmlformats.org/officeDocument/2006/relationships/hyperlink" Target="https://jcgm.bipm.org/vim/en/5.1.html" TargetMode="External"/><Relationship Id="rId15" Type="http://schemas.openxmlformats.org/officeDocument/2006/relationships/hyperlink" Target="https://www.iso.org/iso-50001-energy-management.html" TargetMode="External"/><Relationship Id="rId16" Type="http://schemas.openxmlformats.org/officeDocument/2006/relationships/hyperlink" Target="https://www.unesco.org/en/legal-affairs/recommendation-open-educational-resources-oer" TargetMode="External"/><Relationship Id="rId17" Type="http://schemas.openxmlformats.org/officeDocument/2006/relationships/hyperlink" Target="https://www.nist.gov/publications/artificial-intelligence-risk-management-framework-ai-rmf-10" TargetMode="External"/><Relationship Id="rId18" Type="http://schemas.openxmlformats.org/officeDocument/2006/relationships/hyperlink" Target="https://www.consultant.ru/document/cons_doc_LAW_61801/" TargetMode="External"/><Relationship Id="rId19" Type="http://schemas.openxmlformats.org/officeDocument/2006/relationships/hyperlink" Target="https://www.consultant.ru/document/cons_doc_LAW_140174/" TargetMode="External"/><Relationship Id="rId20" Type="http://schemas.openxmlformats.org/officeDocument/2006/relationships/hyperlink" Target="https://www.consultant.ru/document/cons_doc_LAW_77904/" TargetMode="External"/><Relationship Id="rId21" Type="http://schemas.openxmlformats.org/officeDocument/2006/relationships/hyperlink" Target="https://jcgm.bipm.org/vim/en/2.41.html" TargetMode="External"/><Relationship Id="rId22" Type="http://schemas.openxmlformats.org/officeDocument/2006/relationships/footer" Target="footer2.xml"/><Relationship Id="rId23" Type="http://schemas.openxmlformats.org/officeDocument/2006/relationships/footer" Target="footer3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https://fenix-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ФЕНИКС — Конструктор идеального эталона</dc:title>
  <dc:subject>Эволюционная система. Знания и энергия. Методика, 19 направлений и рабочие формуляры.</dc:subject>
  <dc:creator/>
  <cp:keywords>ФЕНИКС, эталон, знания и энергия, 19 направлений, 13 полей</cp:keywords>
  <dc:description>Рабочая концепция 1.0. Проектные параметры требуют согласования.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