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0"/>
      </w:pPr>
      <w:r>
        <w:rPr>
          <w:b/>
          <w:color w:val="277B83"/>
          <w:sz w:val="18"/>
        </w:rPr>
        <w:t>ПРОГРАММА НАРОДНОГО САМОРАЗВИТИЯ</w:t>
      </w:r>
    </w:p>
    <w:p>
      <w:pPr>
        <w:spacing w:after="20"/>
      </w:pPr>
      <w:r>
        <w:rPr>
          <w:b/>
          <w:color w:val="CE7937"/>
          <w:sz w:val="74"/>
        </w:rPr>
        <w:t>ФЕНИКС</w:t>
      </w:r>
    </w:p>
    <w:p>
      <w:pPr>
        <w:spacing w:after="360"/>
      </w:pPr>
      <w:r>
        <w:rPr>
          <w:b/>
          <w:sz w:val="24"/>
        </w:rPr>
        <w:t>ЭВОЛЮЦИОННАЯ СИСТЕМА</w:t>
      </w:r>
    </w:p>
    <w:p>
      <w:pPr>
        <w:pStyle w:val="Title"/>
        <w:spacing w:after="140"/>
      </w:pPr>
      <w:r>
        <w:t>ОСНОВЫ</w:t>
        <w:br/>
        <w:t>САМОРАЗВИТИЯ</w:t>
      </w:r>
    </w:p>
    <w:p>
      <w:pPr>
        <w:spacing w:after="240"/>
      </w:pPr>
      <w:r>
        <w:rPr>
          <w:color w:val="277B83"/>
          <w:sz w:val="48"/>
        </w:rPr>
        <w:t>Культура и наука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3788558"/>
            <wp:docPr id="1" name="Picture 1" descr="Фрагмент ранее созданной иллюстрации ФЕНИКС: птица с раскрытыми крыльям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enix_crop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88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277B83"/>
          <w:sz w:val="20"/>
        </w:rPr>
        <w:t>ПОНИМАТЬ  →  ИССЛЕДОВАТЬ  →  СОЗДАВАТЬ  →  ПЕРЕДАВАТЬ</w:t>
      </w:r>
    </w:p>
    <w:p>
      <w:r>
        <w:rPr>
          <w:sz w:val="20"/>
        </w:rPr>
        <w:t>Методика • 8 учебных модулей • 19 направлений • 6 рабочих форм</w:t>
      </w:r>
    </w:p>
    <w:p>
      <w:r>
        <w:rPr>
          <w:color w:val="556774"/>
          <w:sz w:val="18"/>
        </w:rPr>
        <w:t>Рабочая концепция 1.0  |  17 сентября 2026 года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01 / ПАСПОРТ И НАВИГАЦИЯ</w:t>
      </w:r>
    </w:p>
    <w:p>
      <w:pPr>
        <w:pStyle w:val="Heading1"/>
      </w:pPr>
      <w:r>
        <w:t>От интереса — к самостоятельному действию</w:t>
      </w:r>
    </w:p>
    <w:p>
      <w:pPr>
        <w:spacing w:after="240"/>
      </w:pPr>
      <w:r>
        <w:rPr>
          <w:color w:val="556774"/>
          <w:sz w:val="22"/>
        </w:rPr>
        <w:t>«ФЕНИКС — Основы саморазвития. Культура и наука» — учебно-методический модуль программы народного саморазвития «Знания и энергия».</w:t>
      </w:r>
    </w:p>
    <w:p>
      <w:r>
        <w:t>Рабочий смысл саморазвития: человек сам выбирает вопрос, осваивает способ действия, создает работу, проверяет ее и сохраняет опыт. Культура раскрывает язык, память, ценности и формы творчества. Наука дает методы исследования, аргументации и проверки утверждений.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7201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Параметр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Предлагаемое решение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Аудитория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Взрослые участники с разным опытом; специальная подготовка не требуется.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Формат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 недель, 36 часов общего планового времени участника; возможен сокращенный маршрут.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Результат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Личный маршрут, культурная работа, исследовательская запись и вклад в общий проект.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Статус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Концепция 1.0. Не утвержденный стандарт, не лицензия и не обещание квалификации.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Как пользоваться</w:t>
      </w:r>
    </w:p>
    <w:p>
      <w:r>
        <w:t>Смысл и практики — с. 3–8. Учебный маршрут — с. 9–12. Примеры и 19 направлений — с. 13–17. Эталон, проверки и оценка — с. 18–22. Правовая и международная части — с. 23–24. Шесть рабочих форм — с. 25–30. Источники — с. 31–32.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Вход свободен по выбору человека; темп согласуется. Эталон применяется к работе и условиям, а не к достоинству или убеждениям участника.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02 / ОСНОВАНИЕ</w:t>
      </w:r>
    </w:p>
    <w:p>
      <w:pPr>
        <w:pStyle w:val="Heading1"/>
      </w:pPr>
      <w:r>
        <w:t>Культура и наука: разные вопросы, общая практика</w:t>
      </w:r>
    </w:p>
    <w:p>
      <w:pPr>
        <w:spacing w:after="240"/>
      </w:pPr>
      <w:r>
        <w:rPr>
          <w:color w:val="556774"/>
          <w:sz w:val="22"/>
        </w:rPr>
        <w:t>Программа не противопоставляет творческое и исследовательское мышление и не смешивает их критерии.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1776"/>
        <w:gridCol w:w="3453"/>
        <w:gridCol w:w="4636"/>
      </w:tblGrid>
      <w:tr>
        <w:trPr>
          <w:tblHeader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Область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Основной вопрос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Работа участника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Как мы понимаем, выражаем и передаем опыт?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Чтение, интерпретация, творчество, диалог, сохранение памяти.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Наука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наблюдается, как объяснить и проверить?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метод, данные, сопоставление, границы вывода.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Общая практика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создаем и за что отвечаем?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Полезный результат, прозрачные источники, безопасность и авторство.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Сознание → смысл → созидание</w:t>
      </w:r>
    </w:p>
    <w:p>
      <w:r>
        <w:t>В этом модуле это организационная формула: заметить свой вопрос; определить, почему он важен; выполнить посильную работу. Она не заявляется универсальным физическим законом или научно установленной стадией развития личности.</w:t>
      </w:r>
    </w:p>
    <w:p>
      <w:r>
        <w:t>Рамочная программа ЮНЕСКО 2024 года и руководство 2025 года рассматривают культуру и искусство в связи с обучением в разных образовательных средах. Здесь они используются как ориентиры, а не доказательство результативности предлагаемого курса. [S01, S02]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Красота образа не доказывает научный тезис. Научный расчет сам по себе не выбирает за человека его цели и ценности.</w:t>
            </w:r>
          </w:p>
        </w:tc>
      </w:tr>
    </w:tbl>
    <w:p>
      <w:pPr>
        <w:spacing w:after="20" w:line="20" w:lineRule="exact"/>
      </w:pPr>
    </w:p>
    <w:p>
      <w:r>
        <w:t>Творческая работа допускает несколько интерпретаций. Утверждения об авторе, происхождении предмета, исторической дате или действии устройства требуют проверки источников и данных.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03 / ЛИЧНЫЙ ВЫБОР</w:t>
      </w:r>
    </w:p>
    <w:p>
      <w:pPr>
        <w:pStyle w:val="Heading1"/>
      </w:pPr>
      <w:r>
        <w:t>13 контуров — меню, а не лестница людей</w:t>
      </w:r>
    </w:p>
    <w:p>
      <w:pPr>
        <w:spacing w:after="240"/>
      </w:pPr>
      <w:r>
        <w:rPr>
          <w:color w:val="556774"/>
          <w:sz w:val="22"/>
        </w:rPr>
        <w:t>Сохранены P01–P13 из «ФЕНИКС — Эволюционная система». Для первого цикла достаточно одного основного и одного поддерживающего контура.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986"/>
        <w:gridCol w:w="3749"/>
        <w:gridCol w:w="5130"/>
      </w:tblGrid>
      <w:tr>
        <w:trPr>
          <w:tblHeader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P01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Здоровье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Доступная нагрузка и безопасное участие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P02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Сознание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Внимание к собственному выбору и действиям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P03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Разум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Вопросы, аргументы, проверка выводов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P04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Эмоции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Называние переживания без навязывания трактовки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P05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Навыки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Наблюдаемое действие и обратная связь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P06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Образование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Индивидуальный маршрут и источники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P07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Труд и мастерство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Качество работы и освоение инструмента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P08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Экономика и финансовая самостоятельность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времени, материалов и расходов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P09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Семья и общины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Диалог и добровольная передача опыта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P10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Творчество и культура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Чтение, искусство, ремесло и наследие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P11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Природа и служение Земле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Бережное наблюдение за местом жизни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P12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Духовность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Личная рефлексия; свобода мировоззрения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P13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Смысл и миссия жизни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Выбор полезного результата и следующего шага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Основные связи темы: P03 «Разум», P06 «Образование», P10 «Творчество и культура». Остальные контуры включаются только по запросу участника.</w:t>
            </w:r>
          </w:p>
        </w:tc>
      </w:tr>
    </w:tbl>
    <w:p>
      <w:pPr>
        <w:spacing w:after="20" w:line="20" w:lineRule="exact"/>
      </w:pPr>
    </w:p>
    <w:p>
      <w:r>
        <w:t>P12 и P13 не требуют общей религии, идеологии или публичного рассказа о личном. Отказ от задания или изменение цели не уменьшают право на уважение и участие.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04 / КУЛЬТУРНАЯ ПРАКТИКА</w:t>
      </w:r>
    </w:p>
    <w:p>
      <w:pPr>
        <w:pStyle w:val="Heading1"/>
      </w:pPr>
      <w:r>
        <w:t>Замечать. Понимать. Создавать. Передавать.</w:t>
      </w:r>
    </w:p>
    <w:p>
      <w:pPr>
        <w:spacing w:after="240"/>
      </w:pPr>
      <w:r>
        <w:rPr>
          <w:color w:val="556774"/>
          <w:sz w:val="22"/>
        </w:rPr>
        <w:t>Культурная часть строится вокруг действий, доступных без большого бюджета: прочитать, рассмотреть, обсудить, сделать и бережно сохранить.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269"/>
        <w:gridCol w:w="4242"/>
        <w:gridCol w:w="3354"/>
      </w:tblGrid>
      <w:tr>
        <w:trPr>
          <w:tblHeader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Задание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Чтение и наблюдение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Выбрать произведение; описать, что в нем непосредственно присутствует.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Список наблюдений без домысливания.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Интерпретация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Предложить два объяснения и показать, на какие детали они опираются.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Сопоставление трактовок; признание неопределенности.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Творчество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Создать собственный текст, эскиз, звукозапись или макет.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Замысел, черновик, обратная связь, версия 2.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Память и диалог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Уточнить происхождение предмета или рассказа; согласовать использование.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источника и разрешенный режим доступа.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Пример: история семейного предмета</w:t>
      </w:r>
    </w:p>
    <w:p>
      <w:r>
        <w:t>Участник описывает материал, надписи, следы ремонта и рассказ владельца. В карточке разделяются наблюдаемые признаки, слова рассказчика, найденные документы и собственная трактовка. Неустановленный автор остается неустановленным; личная история не объявляется историей всех семей.</w:t>
      </w:r>
    </w:p>
    <w:p>
      <w:r>
        <w:t>Обсуждение начинается с вопроса «Что вы заметили?», а не «Как нужно понимать?». Отзыв относится к работе: ясности, обоснованности, аккуратности исполнения. Предпочтение одного жанра не становится оценкой культурной ценности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Сохранение наследия — не копирование без разбора: важны происхождение, контекст, права и возможность исправить описание. [S11, S13]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05 / НАУЧНАЯ ПРАКТИКА</w:t>
      </w:r>
    </w:p>
    <w:p>
      <w:pPr>
        <w:pStyle w:val="Heading1"/>
      </w:pPr>
      <w:r>
        <w:t>От любопытства — к проверяемому вопросу</w:t>
      </w:r>
    </w:p>
    <w:p>
      <w:pPr>
        <w:spacing w:after="240"/>
      </w:pPr>
      <w:r>
        <w:rPr>
          <w:color w:val="556774"/>
          <w:sz w:val="22"/>
        </w:rPr>
        <w:t>Предлагается простой учебный цикл, который подходит для безопасных наблюдений, работы с открытыми данными и небольших расчетов.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170"/>
        <w:gridCol w:w="7694"/>
      </w:tblGrid>
      <w:tr>
        <w:trPr>
          <w:tblHeader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Шаг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Что записать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1. Вопрос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объект и одно различие, которое можно наблюдать.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2. Предпосылки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уже известно; какие источники доступны; где пробел.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3. План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Метод, условия, единицы, сравнение и правило остановки.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4. Данные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Исходные записи без удаления неудобных значений; пропуски отдельно.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5. Анализ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Расчет или сопоставление; альтернативные объяснения.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6. Проверка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Другой участник повторяет расчет; при возможности — новое наблюдение.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7. Вывод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поддержано данными, что не установлено и где вывод неприменим.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В отчете National Academies различены повторный расчет на тех же данных и повторное исследование с новыми данными. В ФЕНИКС это две отдельные отметки: «расчет проверен» и «наблюдение повторено». Ни одна автоматически не доказывает переносимость результата на другую площадку. [S06]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Отсутствие ожидаемого эффекта — допустимый результат. Небольшое учебное наблюдение не обязано завершаться открытием.</w:t>
            </w:r>
          </w:p>
        </w:tc>
      </w:tr>
    </w:tbl>
    <w:p>
      <w:pPr>
        <w:spacing w:after="20" w:line="20" w:lineRule="exact"/>
      </w:pPr>
    </w:p>
    <w:p>
      <w:r>
        <w:t>Исследования с воздействием на здоровье, опасными веществами, электроустановками или персональными данными не запускаются по этой общей схеме без отдельной профессиональной и правовой подготовки.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06 / ГРАМОТНОСТЬ ЗНАНИЯ</w:t>
      </w:r>
    </w:p>
    <w:p>
      <w:pPr>
        <w:pStyle w:val="Heading1"/>
      </w:pPr>
      <w:r>
        <w:t>Различать утверждения — прежде чем спорить</w:t>
      </w:r>
    </w:p>
    <w:p>
      <w:pPr>
        <w:spacing w:after="240"/>
      </w:pPr>
      <w:r>
        <w:rPr>
          <w:color w:val="556774"/>
          <w:sz w:val="22"/>
        </w:rPr>
        <w:t>Одна и та же тема может содержать факт, гипотезу, интерпретацию и ценностный выбор. Для них нужны разные вопросы.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367"/>
        <w:gridCol w:w="3847"/>
        <w:gridCol w:w="3650"/>
      </w:tblGrid>
      <w:tr>
        <w:trPr>
          <w:tblHeader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Тип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Пример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Как обращаться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Наблюдение / факт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«На снимке видна надпись; источник датирован».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Указать источник, условия и предел точности.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Гипотеза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«Изменение расположения улучшит показатель».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Задать проверку и возможное опровержение.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Интерпретация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«Этот образ выражает переживание утраты».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Показать детали и допустить иную трактовку.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Ценность / цель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«Мы хотим сохранить память об этом месте».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Обсудить добровольность, последствия и согласие.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Проверка источника за одно занятие</w:t>
      </w:r>
    </w:p>
    <w:p>
      <w:r>
        <w:t>Найдите автора и дату, откройте исходный материал, уточните контекст и тип публикации. Сопоставьте с независимым источником: два пересказа одной новости не являются двумя независимыми подтверждениями. Сохраните ссылку и коротко запишите, чего источник не доказывает.</w:t>
      </w:r>
    </w:p>
    <w:p>
      <w:pPr>
        <w:pStyle w:val="Heading2"/>
      </w:pPr>
      <w:r>
        <w:t>ИИ — помощник, а не свидетель</w:t>
      </w:r>
    </w:p>
    <w:p>
      <w:r>
        <w:t>В модуле ИИ используется для черновика, объяснения терминов и поиска пробелов. Человек открывает названные источники, проверяет цитаты и расчеты, фиксирует исправления. Личные и закрытые данные не загружаются в сторонний сервис без установленного основания и проверки условий. [S07, S12]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Метка в Архиве: «проверенный источник», «учебная практика», «гипотеза», «авторская интерпретация». Ответ ИИ не получает статус факта только из-за уверенного тона.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07 / ОСНОВЫ САМООБУЧЕНИЯ</w:t>
      </w:r>
    </w:p>
    <w:p>
      <w:pPr>
        <w:pStyle w:val="Heading1"/>
      </w:pPr>
      <w:r>
        <w:t>Малое действие, обратная связь, новый цикл</w:t>
      </w:r>
    </w:p>
    <w:p>
      <w:pPr>
        <w:spacing w:after="240"/>
      </w:pPr>
      <w:r>
        <w:rPr>
          <w:color w:val="556774"/>
          <w:sz w:val="22"/>
        </w:rPr>
        <w:t>Предлагаемый ритм занятия: увидеть задачу → изучить материал → восстановить смысл своими словами → применить → проверить.</w:t>
      </w:r>
    </w:p>
    <w:p>
      <w:pPr>
        <w:pStyle w:val="Heading2"/>
      </w:pPr>
      <w:r>
        <w:t>Учебная практика без обещания универсального эффекта</w:t>
      </w:r>
    </w:p>
    <w:p>
      <w:r>
        <w:t>Эксперимент Karpicke и Blunt (2011) на материалах научных текстов показал пользу практики извлечения из памяти в исследованных условиях. Для ФЕНИКС предлагается пробовать краткое воспроизведение и проверять собственный результат; исследование не гарантирует одинаковый эффект для каждого человека и любой темы. [S05]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762"/>
        <w:gridCol w:w="7102"/>
      </w:tblGrid>
      <w:tr>
        <w:trPr>
          <w:tblHeader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Прием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Предлагаемое действие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 до чтения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Записать, на что ищете ответ. Не пытаться освоить весь предмет сразу.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Пересказ без подсказки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Закрыть материал, объяснить главное, затем сверить и исправить.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Практика с отзывом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Выполнить маленькую работу и получить замечание к конкретному действию.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Возвращение к теме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Вернуться к заданию в другой день; срок выбрать по сложности и нагрузке.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Журнал продвижения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Зафиксировать сделанное, затруднение, помощь и ближайший шаг.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Три значения энергии в программе</w:t>
      </w:r>
    </w:p>
    <w:p>
      <w:r>
        <w:t>Время и внимание — личный ресурс; совместная работа — организационный ресурс; электричество и тепло — физические ресурсы. Они учитываются раздельно. «Пламя» ФЕНИКС — метафора практики, а не измерение состояния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План должен помещаться в реальную жизнь. При перегрузке сокращается объем работы, меняется способ участия или делается пауза; публичное порицание не применяется.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08 / МАРШРУТ</w:t>
      </w:r>
    </w:p>
    <w:p>
      <w:pPr>
        <w:pStyle w:val="Heading1"/>
      </w:pPr>
      <w:r>
        <w:t>12 недель / 36 часов</w:t>
      </w:r>
    </w:p>
    <w:p>
      <w:pPr>
        <w:spacing w:after="240"/>
      </w:pPr>
      <w:r>
        <w:rPr>
          <w:color w:val="556774"/>
          <w:sz w:val="22"/>
        </w:rPr>
        <w:t>Это предлагаемая нагрузка одного участника, включающая встречи, практику и самостоятельную работу, а не только аудиторные часы.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1874"/>
        <w:gridCol w:w="4242"/>
        <w:gridCol w:w="789"/>
        <w:gridCol w:w="2959"/>
      </w:tblGrid>
      <w:tr>
        <w:trPr>
          <w:tblHeader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Период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Содержание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Часы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Выход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1–4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U01–U04: вопрос, культура, память, творчество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Личный маршрут и культурная работа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5–8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U05–U08: наука, данные, ИИ, общий проект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Протокол, проверенные источники, паспорт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9–10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Практический проект по выбранной теме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6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результата и первичные записи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Неделя 11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Проверка другим участником и исправление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 проверки и версия 2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Неделя 12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Показ работы, Архив и следующий шаг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Разрешенный вклад в Архив и новый маршрут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Расчет: 8 модулей × 3 часа = 24 часа; проект 6 часов; проверка 3 часа; передача опыта 3 часа. Всего 36 часов. Пример недельного распределения: 60 минут встречи, 60 минут практики и 60 минут самостоятельной работы.</w:t>
      </w:r>
    </w:p>
    <w:p>
      <w:pPr>
        <w:pStyle w:val="Heading2"/>
      </w:pPr>
      <w:r>
        <w:t>Пять этапов ФЕНИКС</w:t>
      </w:r>
    </w:p>
    <w:p>
      <w:r>
        <w:t>Искра — личный вопрос. Пламя — изучение и создание. Пепел — разбор ошибок и непроверенных предположений. Вознесение — уточнение и подтверждение работы. Полёт — добровольная передача опыта. Этапы могут повторяться; они не измеряют «уровень»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Базовая версия рассчитана на взрослых. Формат для детей и подростков требует отдельной возрастной методики, организации безопасности и взаимодействия с законными представителями.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09 / УЧЕБНЫЕ МОДУЛИ</w:t>
      </w:r>
    </w:p>
    <w:p>
      <w:pPr>
        <w:pStyle w:val="Heading1"/>
      </w:pPr>
      <w:r>
        <w:t>Культурная основа</w:t>
      </w:r>
    </w:p>
    <w:p>
      <w:pPr>
        <w:spacing w:after="240"/>
      </w:pPr>
      <w:r>
        <w:rPr>
          <w:color w:val="556774"/>
          <w:sz w:val="22"/>
        </w:rPr>
        <w:t>Каждый модуль рассчитан на 3 часа общего времени; объем и способ выполнения адаптируются.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4439"/>
        <w:gridCol w:w="2762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Модуль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U01 / Внимание и личный вопрос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Выбрать одну задачу: что хочу понять или научиться делать. Разделить интерес, обязанность и ожидания других.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Короткий маршрут; согласованная нагрузка.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U02 / Чтение и культурный контекст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Разобрать текст, изображение или музыкальное произведение: наблюдение, контекст, интерпретация.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произведения с двумя обоснованными трактовками.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U03 / Память и наследие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Описать предмет или рассказ; установить происхождение, согласовать запись и публикацию.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истории с указанием неизвестного.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U04 / Творчество и мастерство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Создать текст, эскиз, макет или безопасный ремесленный образец; проверить по замыслу.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1, отзыв и исправленная версия.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Сценарий одного занятия</w:t>
      </w:r>
    </w:p>
    <w:p>
      <w:r>
        <w:t>Начало: участник называет задачу и ожидаемый результат. Затем ведущий показывает небольшой пример и дает время на самостоятельную работу. В завершение участник показывает сделанное, называет одно ограничение и выбирает следующий шаг.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Критерий завершения — предъявленная работа и понятная обратная связь. Посещение само по себе не подтверждает освоение навыка.</w:t>
            </w:r>
          </w:p>
        </w:tc>
      </w:tr>
    </w:tbl>
    <w:p>
      <w:pPr>
        <w:spacing w:after="20" w:line="20" w:lineRule="exact"/>
      </w:pPr>
    </w:p>
    <w:p>
      <w:r>
        <w:t>Разрешены письменный, устный и визуальный ответы. Для слуховых, зрительных, моторных или цифровых барьеров заранее предлагается альтернативный путь. Адаптация не снижает достоинства результата.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10 / УЧЕБНЫЕ МОДУЛИ</w:t>
      </w:r>
    </w:p>
    <w:p>
      <w:pPr>
        <w:pStyle w:val="Heading1"/>
      </w:pPr>
      <w:r>
        <w:t>Исследовательская основа</w:t>
      </w:r>
    </w:p>
    <w:p>
      <w:pPr>
        <w:spacing w:after="240"/>
      </w:pPr>
      <w:r>
        <w:rPr>
          <w:color w:val="556774"/>
          <w:sz w:val="22"/>
        </w:rPr>
        <w:t>Каждый модуль рассчитан на 3 часа общего времени; объем и способ выполнения адаптируются.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4439"/>
        <w:gridCol w:w="2762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Модуль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U05 / Научный вопрос и источник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Сформулировать проверяемый вопрос; найти первоисточник и альтернативное объяснение.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ожидаемое наблюдение, план проверки.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U06 / Наблюдение и данные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Задать объект, единицы и условия; записать исходные данные и пропуски; повторить расчет.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Журнал и вывод с ограничениями.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U07 / Цифровая грамотность и ИИ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Проверить ответ ИИ по внешним источникам; отделить черновик от доказательства.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 проверки и исправления.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U08 / Общий проект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Соединить культурную работу с исследованием, заполнить паспорт и критерии.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Паспорт M01–M13 и план проекта.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Сценарий одного занятия</w:t>
      </w:r>
    </w:p>
    <w:p>
      <w:r>
        <w:t>Начало: участник называет задачу и ожидаемый результат. Затем ведущий показывает небольшой пример и дает время на самостоятельную работу. В завершение участник показывает сделанное, называет одно ограничение и выбирает следующий шаг.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Критерий завершения — предъявленная работа и понятная обратная связь. Посещение само по себе не подтверждает освоение навыка.</w:t>
            </w:r>
          </w:p>
        </w:tc>
      </w:tr>
    </w:tbl>
    <w:p>
      <w:pPr>
        <w:spacing w:after="20" w:line="20" w:lineRule="exact"/>
      </w:pPr>
    </w:p>
    <w:p>
      <w:r>
        <w:t>Разрешены письменный, устный и визуальный ответы. Для слуховых, зрительных, моторных или цифровых барьеров заранее предлагается альтернативный путь. Адаптация не снижает достоинства результата.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11 / МЕСТНЫЙ ЦЕНТР</w:t>
      </w:r>
    </w:p>
    <w:p>
      <w:pPr>
        <w:pStyle w:val="Heading1"/>
      </w:pPr>
      <w:r>
        <w:t>Мастерская культуры и научного мышления</w:t>
      </w:r>
    </w:p>
    <w:p>
      <w:pPr>
        <w:spacing w:after="240"/>
      </w:pPr>
      <w:r>
        <w:rPr>
          <w:color w:val="556774"/>
          <w:sz w:val="22"/>
        </w:rPr>
        <w:t>Предлагаемая единица пилота: одна согласованная площадка, 20 взрослых участников, два наставника и два проекта.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7004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Роль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Ответственность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Участник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Выбор цели, работа, фиксация источников и обратная связь.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Наставник по культуре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Контекст, авторство, творческая практика и бережный диалог.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Наставник по исследованию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метод, качество данных и границы выводов.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Оператор площадки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Доступ, договоренности, ресурсы, безопасность и обращения.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Проверяющий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Проверка работы по критериям; раскрытие конфликта интересов.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Преемственность пилота</w:t>
      </w:r>
    </w:p>
    <w:p>
      <w:r>
        <w:t>Полная модель предыдущей программы — три центра, 60 участников, шесть наставников и шесть проектов. Этот модуль может быть ее учебным наполнением, а не еще одной группой поверх тех же людей. Один участник и один результат не учитываются дважды.</w:t>
      </w:r>
    </w:p>
    <w:p>
      <w:pPr>
        <w:pStyle w:val="Heading2"/>
      </w:pPr>
      <w:r>
        <w:t>Минимальный набор ресурсов</w:t>
      </w:r>
    </w:p>
    <w:p>
      <w:r>
        <w:t>Помещение или дистанционный канал; библиотека законно доступных материалов; бумага или компьютер; разрешенные образцы; место хранения работ; контакт ответственного. Для измерений — подходящий прибор и подготовленный наставник. Смета составляется после согласования площадки, без предположения о полученном финансировании.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Мастерская может работать на бумаге. ЭКВИЛИБРИУМ и цифровой Архив помогают хранить связи и версии, но разработка большой платформы не является условием старта.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12 / ПРИМЕР 1</w:t>
      </w:r>
    </w:p>
    <w:p>
      <w:pPr>
        <w:pStyle w:val="Heading1"/>
      </w:pPr>
      <w:r>
        <w:t>История одной вещи</w:t>
      </w:r>
    </w:p>
    <w:p>
      <w:pPr>
        <w:spacing w:after="240"/>
      </w:pPr>
      <w:r>
        <w:rPr>
          <w:color w:val="556774"/>
          <w:sz w:val="22"/>
        </w:rPr>
        <w:t>Культурно-исследовательский проект: участник описывает предмет повседневности, выясняет его происхождение и создает небольшую экспозицию.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466"/>
        <w:gridCol w:w="7398"/>
      </w:tblGrid>
      <w:tr>
        <w:trPr>
          <w:tblHeader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Элемент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Рабочее решение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Основной код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D02 «Образование и знания»; связи D14, D15, D17. Личный выбор — P06 и P10.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Культурная работа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Фото или рисунок, рассказ владельца, краткое авторское эссе.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Исследование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Надписи, материалы по источникам, документы, сопоставление версий происхождения.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Рабочий эталон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с разделением наблюдения, свидетельства и интерпретации; указаны права и неизвестное.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Доказательства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Ссылки, разрешенные копии, дата записи, исправления и отзыв проверяющего.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Порядок работы</w:t>
      </w:r>
    </w:p>
    <w:p>
      <w:r>
        <w:t>Согласовать участие владельца и обращение с предметом. Сначала описать признаки, затем записать рассказ, после этого искать документы. Не подгонять находки под красивую историю. Подготовить подпись к экспозиции и дать владельцу проверить сведения о нем.</w:t>
      </w:r>
    </w:p>
    <w:p>
      <w:pPr>
        <w:pStyle w:val="Heading2"/>
      </w:pPr>
      <w:r>
        <w:t>Приемка</w:t>
      </w:r>
    </w:p>
    <w:p>
      <w:r>
        <w:t>Другой участник может понять, откуда взялось каждое утверждение и какие элементы являются авторским прочтением. Отсутствие документа записано честно. Публикация согласована отдельно от участия во встрече.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Учебный пример не является экспертизой подлинности, оценкой рыночной стоимости или разрешением реставрировать предмет. Семейная история не становится публичной автоматически.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13 / ПРИМЕР 2</w:t>
      </w:r>
    </w:p>
    <w:p>
      <w:pPr>
        <w:pStyle w:val="Heading1"/>
      </w:pPr>
      <w:r>
        <w:t>Свет для чтения</w:t>
      </w:r>
    </w:p>
    <w:p>
      <w:pPr>
        <w:spacing w:after="240"/>
      </w:pPr>
      <w:r>
        <w:rPr>
          <w:color w:val="556774"/>
          <w:sz w:val="22"/>
        </w:rPr>
        <w:t>Учебный проект связывает культуру читательского места с наблюдением физических условий и учетом ресурсов.</w:t>
      </w:r>
    </w:p>
    <w:p>
      <w:r>
        <w:t>Культурный вопрос: как сделать читательское место понятным и удобным для выбранного пользователя? Исследовательский вопрос: как меняются показания освещенности на одном участке стола при двух заранее описанных положениях разрешенной настольной лампы?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7201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Что фиксировать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Как обеспечить сопоставимость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Объект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стол, одна лампа, одна точка и ориентация датчика.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Условия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Время, дневной свет, положение лампы, режим, прибор и его ограничения.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Наблюдения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Чередование условий A–B–A–B, несколько записей; без выбора только удобных значений.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Ресурс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 работы и данные об энергопотреблении — отдельно от освещенности.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Вывод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Различие в пределах этого опыта; причины возможных расхождений.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Выход проекта</w:t>
      </w:r>
    </w:p>
    <w:p>
      <w:r>
        <w:t>Эскиз читательского места, протокол наблюдения, исходный журнал, повторенный расчет и список вопросов специалисту. Связи: основной D09; D02, D13, D14 и D18. Субъективный отзыв о комфорте хранится отдельно от показаний прибора.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Только штатное безопасное использование исправной лампы. Никаких работ с проводкой, вскрытия или самостоятельного монтажа. Телефонное приложение — демонстрация, не санитарная экспертиза.</w:t>
            </w:r>
          </w:p>
        </w:tc>
      </w:tr>
    </w:tbl>
    <w:p>
      <w:pPr>
        <w:spacing w:after="20" w:line="20" w:lineRule="exact"/>
      </w:pPr>
    </w:p>
    <w:p>
      <w:r>
        <w:t>Изменение показаний не доказывает улучшения здоровья, зрения или обучения. Для таких утверждений нужны другие методы и профессиональная оценка. Числа результата заранее не задаются.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14 / ПРИМЕР 3</w:t>
      </w:r>
    </w:p>
    <w:p>
      <w:pPr>
        <w:pStyle w:val="Heading1"/>
      </w:pPr>
      <w:r>
        <w:t>Живая карта места</w:t>
      </w:r>
    </w:p>
    <w:p>
      <w:pPr>
        <w:spacing w:after="240"/>
      </w:pPr>
      <w:r>
        <w:rPr>
          <w:color w:val="556774"/>
          <w:sz w:val="22"/>
        </w:rPr>
        <w:t>Общий проект об истории и наблюдаемом состоянии разрешенного маршрута: двор, улица, парк или территория площадки.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Слой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Названия, рассказы, ремесла, памятные места; источник и контекст каждого описания.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Исследовательский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Датированные наблюдения доступности, видимых объектов и сезонных изменений.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Проектный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Предложение владельцу или ответственному: что можно уточнить, сохранить или улучшить.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Архивный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карты, исходные записи, права и перечень неподтвержденных сведений.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Границы</w:t>
      </w:r>
    </w:p>
    <w:p>
      <w:r>
        <w:t>Наблюдения ведутся из разрешенных мест, без посещения закрытых объектов и публикации частных адресов. Для природных объектов исключены отбор образцов, повреждение, кормление животных и иное вмешательство. Неуверенное определение вида остается предварительным.</w:t>
      </w:r>
    </w:p>
    <w:p>
      <w:pPr>
        <w:pStyle w:val="Heading2"/>
      </w:pPr>
      <w:r>
        <w:t>Критерии</w:t>
      </w:r>
    </w:p>
    <w:p>
      <w:r>
        <w:t>Для каждой точки есть дата, источник или наблюдение и режим доступа. Историческая версия отделена от легенды. Предложения сформулированы как предложения, а не как решение за собственника. Другой участник проверяет одну выбранную точку и объясняет расхождение.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Основной код D13. Связи D02, D07, D12, D14, D15 и D17 выбираются по фактической работе. Наличие карты не подтверждает юридический статус территории или экологическую безопасность.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15 / 19 НАПРАВЛЕНИЙ</w:t>
      </w:r>
    </w:p>
    <w:p>
      <w:pPr>
        <w:pStyle w:val="Heading1"/>
      </w:pPr>
      <w:r>
        <w:t>Культура и наука во всех направлениях</w:t>
      </w:r>
    </w:p>
    <w:p>
      <w:pPr>
        <w:spacing w:after="240"/>
      </w:pPr>
      <w:r>
        <w:rPr>
          <w:color w:val="556774"/>
          <w:sz w:val="22"/>
        </w:rPr>
        <w:t>D01–D19 сохранены из базовой программы. Культура здесь — сквозная практика, а не новое двадцатое направление.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 / направление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 работы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предъявить / ограничить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D01 / Человек и здоровье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Карта доступности культурной площадки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Проверка маршрута, не медицинский вывод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D02 / Образование и знания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Читательская и исследовательская мастерская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Работа участника и карточка источника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D03 / Естественный климат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Календарь сезонных наблюдений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Даты и условия; без глобальных выводов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D04 / Земля и почвы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использования учебного участка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 и разрешение на наблюдение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D05 / Вода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местного водоема и журнал воды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отдельно от анализа качества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D06 / Воздух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Наблюдение условий помещения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Журнал; не заключение о санитарных нормах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D07 / Биоценозы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Атлас местных наблюдений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Фото, дата; неопределенный вид так и отмечен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D08 / Продовольствие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Культурная история блюда и учет потерь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 рецепта; без лечебных обещаний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D09 / Энергия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Читательское место: свет и расход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Измерения в описанных условиях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D10 / Материалы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Каталог керамики и синтетических кристаллов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Происхождение и свойства по источникам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проект выбирает основной D-код и только существенные связи. Разные единицы не складываются в общий балл развития.</w:t>
            </w:r>
          </w:p>
        </w:tc>
      </w:tr>
    </w:tbl>
    <w:p>
      <w:pPr>
        <w:spacing w:after="20" w:line="20" w:lineRule="exact"/>
      </w:pPr>
    </w:p>
    <w:p>
      <w:r>
        <w:t>Таблица предлагает темы, но не утверждает доступность площадок, партнерств и разрешений. Учебный материал адаптируется к опыту группы и фактической правовой модели.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16 / 19 НАПРАВЛЕНИЙ</w:t>
      </w:r>
    </w:p>
    <w:p>
      <w:pPr>
        <w:pStyle w:val="Heading1"/>
      </w:pPr>
      <w:r>
        <w:t>Продолжение матрицы направлений</w:t>
      </w:r>
    </w:p>
    <w:p>
      <w:pPr>
        <w:spacing w:after="240"/>
      </w:pPr>
      <w:r>
        <w:rPr>
          <w:color w:val="556774"/>
          <w:sz w:val="22"/>
        </w:rPr>
        <w:t>D01–D19 сохранены из базовой программы. Культура здесь — сквозная практика, а не новое двадцатое направление.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 / направление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 работы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предъявить / ограничить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D11 / Промышленность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изделия и карта его изготовления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Схема процесса; опасные операции исключены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D12 / Транспорт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Культурный маршрут и его доступность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Проверка пути без вмешательства в движение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D13 / Города и расселение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Живая карта места и общественных пространств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Разрешенные данные и предложения владельцу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D14 / Наука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Вопрос, протокол и повторяемый расчет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Данные, метод и ограничения вывода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D15 / Цифровая среда и ИИ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Цифровой каталог и проверка ответов ИИ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Источники, права доступа, журнал изменений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D16 / Экономика и финансы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Смета культурно-научной мастерской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и факт; без оценки ценности человека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D17 / Социальная система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Межпоколенческий обмен мастерством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Добровольность, доступность, обратная связь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D18 / Безопасность и устойчивость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Паспорт рисков занятия и площадки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Ответственный и понятные стоп-условия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D19 / Управление развитием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Реестр задач, решений и версий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Ответственные, сроки и доказательства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проект выбирает основной D-код и только существенные связи. Разные единицы не складываются в общий балл развития.</w:t>
            </w:r>
          </w:p>
        </w:tc>
      </w:tr>
    </w:tbl>
    <w:p>
      <w:pPr>
        <w:spacing w:after="20" w:line="20" w:lineRule="exact"/>
      </w:pPr>
    </w:p>
    <w:p>
      <w:r>
        <w:t>Таблица предлагает темы, но не утверждает доступность площадок, партнерств и разрешений. Учебный материал адаптируется к опыту группы и фактической правовой модели.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17 / КОНСТРУКТОР ЭТАЛОНА</w:t>
      </w:r>
    </w:p>
    <w:p>
      <w:pPr>
        <w:pStyle w:val="Heading1"/>
      </w:pPr>
      <w:r>
        <w:t>13 полей — один понятный паспорт</w:t>
      </w:r>
    </w:p>
    <w:p>
      <w:pPr>
        <w:spacing w:after="240"/>
      </w:pPr>
      <w:r>
        <w:rPr>
          <w:color w:val="556774"/>
          <w:sz w:val="22"/>
        </w:rPr>
        <w:t>Сохранены M01–M13 из предыдущего модуля. Личные контуры P01–P13 и поля паспорта M01–M13 — разные списки.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986"/>
        <w:gridCol w:w="2663"/>
        <w:gridCol w:w="6215"/>
      </w:tblGrid>
      <w:tr>
        <w:trPr>
          <w:tblHeader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записать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M01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Идентификация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Название, код, версия, дата и статус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M02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Потребность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Чья задача и как подтвержден запрос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M03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Участники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Автор, наставник, оператор, проверяющий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M04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Границы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Объект, аудитория, период, исключения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M05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Направления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Основной D-код, связи и выбранные P-контуры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M06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Знания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Источники, умения, метод и права использования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M07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Результат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 → рабочие требования → фактическая работа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M08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Шаги, сроки, контрольные точки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M09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Ресурсы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Время, материалы, площадка и энергия раздельно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M10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Финансирование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расходов, источник и подтверждения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M11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Право и безопасность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Основания, доступность, риски и остановка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M12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 и доказательства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Журнал, файлы, метод, доступ и ограничения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M13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Приемка и продолжение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Решение, замечания, версия и следующий цикл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Для M07 всегда разделяются три слоя: желаемый образ; согласованные требования; фактическая работа. Изменение критерия после опыта оформляется новой версией.</w:t>
            </w:r>
          </w:p>
        </w:tc>
      </w:tr>
    </w:tbl>
    <w:p>
      <w:pPr>
        <w:spacing w:after="20" w:line="20" w:lineRule="exact"/>
      </w:pPr>
    </w:p>
    <w:p>
      <w:r>
        <w:t>Внутренняя модель «Кристалл 741» может связывать 3 слоя × 19 направлений × 13 полей. Это архитектура записей, не научная формула эффективности и не требование заполнить все 741 позиции для небольшого задания.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18 / ЗАПОЛНЕННЫЙ ФРАГМЕНТ</w:t>
      </w:r>
    </w:p>
    <w:p>
      <w:pPr>
        <w:pStyle w:val="Heading1"/>
      </w:pPr>
      <w:r>
        <w:t>Эталон исследовательской карточки</w:t>
      </w:r>
    </w:p>
    <w:p>
      <w:pPr>
        <w:spacing w:after="240"/>
      </w:pPr>
      <w:r>
        <w:rPr>
          <w:color w:val="556774"/>
          <w:sz w:val="22"/>
        </w:rPr>
        <w:t>Пример для проекта «История одной вещи». Требования ниже предлагаются для согласования перед работой.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762"/>
        <w:gridCol w:w="7102"/>
      </w:tblGrid>
      <w:tr>
        <w:trPr>
          <w:tblHeader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Слой / поле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Пример записи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Образ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Читатель понимает историю предмета, не путая память, предположение и документ.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Рабочий эталон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содержит описание, происхождение, источник каждого проверяемого утверждения, режим использования и список неизвестного.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Факт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Заполняется после работы: что подготовлено и чем подтверждено; сейчас результата нет.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M06 / знания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Описание предмета, поиск документов, правила цитирования и согласования публикации.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M09 / ресурсы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Разрешенный доступ, бумага или компьютер, время владельца и наставника.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M12 / доказательства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Исходная запись, ссылки, разрешенные копии, журнал исправлений.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M13 / приемка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Проверяющий отмечает выполненные критерии и возвращает непроверенные утверждения на доработку.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Критерий в рабочей форме</w:t>
      </w:r>
    </w:p>
    <w:p>
      <w:r>
        <w:t>«В каждом абзаце, содержащем проверяемое утверждение о происхождении, есть ссылка на источник либо явная отметка “не установлено”». Проверка: прочитать карточку и сопоставить с приложениями. Это правило карточки, а не оценка таланта автора.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 заменять доказательство словом “эталон”. Принятая работа остается ограниченной своим объектом, источниками и периодом.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19 / ПРОВЕРКА КАЧЕСТВА</w:t>
      </w:r>
    </w:p>
    <w:p>
      <w:pPr>
        <w:pStyle w:val="Heading1"/>
      </w:pPr>
      <w:r>
        <w:t>20 проверок перед стартом и приемкой</w:t>
      </w:r>
    </w:p>
    <w:p>
      <w:pPr>
        <w:spacing w:after="240"/>
      </w:pPr>
      <w:r>
        <w:rPr>
          <w:color w:val="556774"/>
          <w:sz w:val="22"/>
        </w:rPr>
        <w:t>Сохранены Q01–Q20 конструктора. Для каждого пункта записываются статус, ссылка на подтверждение и ответственное лицо.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888"/>
        <w:gridCol w:w="2072"/>
        <w:gridCol w:w="6905"/>
      </w:tblGrid>
      <w:tr>
        <w:trPr>
          <w:tblHeader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Группа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Q01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Q02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Q03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Q04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Q05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Q06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Q07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Q08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Q09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Q10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Q11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Q12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Q13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Q14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Q15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Q16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Q17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Q18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Q19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Q20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Статусы: «подтверждено», «нужна доработка», «неприменимо — с объяснением». Неустраненные риски безопасности, прав или данных блокируют соответствующую работу. Суммарный рейтинг людей не рассчитывается.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20 / ПАМЯТЬ СИСТЕМЫ</w:t>
      </w:r>
    </w:p>
    <w:p>
      <w:pPr>
        <w:pStyle w:val="Heading1"/>
      </w:pPr>
      <w:r>
        <w:t>Архив сохранения наследия и ЭКВИЛИБРИУМ</w:t>
      </w:r>
    </w:p>
    <w:p>
      <w:pPr>
        <w:spacing w:after="240"/>
      </w:pPr>
      <w:r>
        <w:rPr>
          <w:color w:val="556774"/>
          <w:sz w:val="22"/>
        </w:rPr>
        <w:t>Сохраняется не только итоговая работа, но и путь ее получения: происхождение, метод, версия, замечания и права.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7004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Реестр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Минимальная запись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Материалы и источники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Автор; дата; ссылка; тип; режим использования; проверка.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Культурные работы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Название; автор; контекст; версии; разрешение на показ.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Исследовательские записи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Вопрос; метод; исходные данные; расчет; ограничения.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Проекты и эталоны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Паспорт M01–M13; критерии; проверки Q01–Q20; решение.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Ресурсы и связи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Время; материалы; расходы; D-коды; единицы и отсутствие дубля.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Изменения и обращения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Замечание; ответственный; решение; новая версия; доступ.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Поток знания</w:t>
      </w:r>
    </w:p>
    <w:p>
      <w:r>
        <w:t>Наблюдение → описание → проверка → разрешенная публикация → использование → отзыв → обновление. Неподтвержденная гипотеза может храниться, но не маркируется как установленный факт. Открытая наука используется как ориентир прозрачности с учетом прав и ограничений доступа. [S03]</w:t>
      </w:r>
    </w:p>
    <w:p>
      <w:pPr>
        <w:pStyle w:val="Heading2"/>
      </w:pPr>
      <w:r>
        <w:t>Режимы доступа</w:t>
      </w:r>
    </w:p>
    <w:p>
      <w:r>
        <w:t>Открытое описание; доступ группы; доступ владельца и проверяющего. Личные данные собираются только в необходимом объеме, с определенной целью, основанием и сроком хранения. Публикация фотографии человека, записи интервью или частной переписки требует отдельной правовой проверки. [S12, S13]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Архивная запись не создает право собственности, научный приоритет, квалификацию или бухгалтерский актив сама по себе.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21 / РЕЗУЛЬТАТ</w:t>
      </w:r>
    </w:p>
    <w:p>
      <w:pPr>
        <w:pStyle w:val="Heading1"/>
      </w:pPr>
      <w:r>
        <w:t>Оценивать работу — не ранжировать людей</w:t>
      </w:r>
    </w:p>
    <w:p>
      <w:pPr>
        <w:spacing w:after="240"/>
      </w:pPr>
      <w:r>
        <w:rPr>
          <w:color w:val="556774"/>
          <w:sz w:val="22"/>
        </w:rPr>
        <w:t>До старта согласуются исходное задание, критерии и способ проверки. Участник знает, что будет считаться достаточным результатом.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058"/>
        <w:gridCol w:w="6807"/>
      </w:tblGrid>
      <w:tr>
        <w:trPr>
          <w:tblHeader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Проверяемое умение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Наблюдаемое действие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Культурное понимание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Отделяет признаки произведения от собственной трактовки; называет источник.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Работа с вопросом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Формулирует ограниченный исследовательский вопрос и альтернативное объяснение.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Работа с данными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Ведет журнал, сохраняет пропуски, объясняет расчет.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Предъявляет замысел, работу, отзыв и исправленную версию.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Ответственность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Соблюдает согласованные права, безопасность и условия доступа.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Три контрольные точки</w:t>
      </w:r>
    </w:p>
    <w:p>
      <w:r>
        <w:t>Старт: небольшая самостоятельная работа без наказания за ошибки. Завершение: сопоставимая задача и проверка другим участником. Позднее: добровольное возвращение к выбранному действию, например через 7–14 дней. Срок — проектное решение, а не норматив эффективности.</w:t>
      </w:r>
    </w:p>
    <w:p>
      <w:pPr>
        <w:pStyle w:val="Heading2"/>
      </w:pPr>
      <w:r>
        <w:t>Отчет программы</w:t>
      </w:r>
    </w:p>
    <w:p>
      <w:r>
        <w:t>Указываются число начавших и завершивших, причины незавершения, доля работ с выполненными критериями, фактические затраты и обращения. Знаменатель каждого показателя раскрывается. Самоотчет о пользе хранится отдельно от наблюдаемого навыка.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Изменение “до–после” без подходящего сравнения не доказывает причинный эффект курса. Не обещаются рост дохода, лечение, универсальная трансформация личности или гарантированное открытие.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22 / РОССИЙСКАЯ ПРАВОВАЯ ЧАСТЬ</w:t>
      </w:r>
    </w:p>
    <w:p>
      <w:pPr>
        <w:pStyle w:val="Heading1"/>
      </w:pPr>
      <w:r>
        <w:t>Основания и документы до запуска</w:t>
      </w:r>
    </w:p>
    <w:p>
      <w:pPr>
        <w:spacing w:after="240"/>
      </w:pPr>
      <w:r>
        <w:rPr>
          <w:color w:val="556774"/>
          <w:sz w:val="22"/>
        </w:rPr>
        <w:t>Формат определяется фактическими действиями оператора. Название «мастерская» или «народная программа» не заменяет проверку правового режима.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946"/>
        <w:gridCol w:w="5919"/>
      </w:tblGrid>
      <w:tr>
        <w:trPr>
          <w:tblHeader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 / источник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в конкретном проекте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Самообразование и творчество</w:t>
              <w:br/>
              <w:t>Конституция, ст. 43–44 [S08]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Доступ, добровольность, свобода творчества и уважение прав участников.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Образовательная деятельность</w:t>
              <w:br/>
              <w:t>273-ФЗ, включая ст. 91 [S09]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Просветительский или образовательный формат; оператор; программа; необходимость лицензии и документы результата.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Культура и наука</w:t>
              <w:br/>
              <w:t>3612-1 и 127-ФЗ [S10, S11]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Режим площадки и объектов; договоренности с учреждениями; не заявлять отсутствующий официальный статус.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Материалы и авторство</w:t>
              <w:br/>
              <w:t>ГК РФ, часть IV [S13]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на произведения, изображения, записи, переводы и переработки; порядок использования работ участников.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</w:t>
              <w:br/>
              <w:t>152-ФЗ [S12]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Цель и основание, необходимый объем, доступ, хранение, удаление и передача.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Конституционные статьи 43–44 закрепляют основы образования, самообразования, творчества и участия в культурной жизни. Конкретные процедуры деятельности определяются применимыми нормами и условиями площадки. [S08]</w:t>
      </w:r>
    </w:p>
    <w:p>
      <w:pPr>
        <w:pStyle w:val="Heading2"/>
      </w:pPr>
      <w:r>
        <w:t>Рабочий пакет</w:t>
      </w:r>
    </w:p>
    <w:p>
      <w:r>
        <w:t>Положение о модуле; сведения об операторе; правила участия и выхода; договоренности с площадкой; правила безопасности и обращений; документы по данным и правам; методика приемки; смета при расходах.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Это обзор для подготовки, не индивидуальное юридическое заключение. Ссылки включают первоначальные и ведомственные публикации; полнота всех изменений на 17.09.2026 не удостоверяется. Перед запуском проверяется актуальная редакция каждого применимого акта.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23 / МЕЖДУНАРОДНАЯ ЧАСТЬ</w:t>
      </w:r>
    </w:p>
    <w:p>
      <w:pPr>
        <w:pStyle w:val="Heading1"/>
      </w:pPr>
      <w:r>
        <w:t>Обмен культурой, методами и знаниями</w:t>
      </w:r>
    </w:p>
    <w:p>
      <w:pPr>
        <w:spacing w:after="240"/>
      </w:pPr>
      <w:r>
        <w:rPr>
          <w:color w:val="556774"/>
          <w:sz w:val="22"/>
        </w:rPr>
        <w:t>Международный блок продолжает ранее включенную часть программы: сотрудничество строится на источниках, правах, ясных ролях и проверяемых результатах.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5031"/>
        <w:gridCol w:w="4834"/>
      </w:tblGrid>
      <w:tr>
        <w:trPr>
          <w:tblHeader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культура и художественное образование, 2024; руководство, 2025 [S01, S02]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Связь культуры с обучением; адаптация к контексту и доступности.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открытая наука, 2021 [S03]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Доступные методы, объяснимые ограничения, обмен проверяемыми записями.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открытые образовательные ресурсы, 2019 [S04]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Использование и переработка только в пределах прав и открытой лицензии.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этика ИИ, 2021 [S07]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Ответственность человека и контроль цифровых помощников.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ООН: Всеобщая декларация, ст. 27 [S14]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Культурное участие, научный прогресс и интересы автора как правовой ориентир.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Модель совместной работы</w:t>
      </w:r>
    </w:p>
    <w:p>
      <w:r>
        <w:t>Две мастерские выбирают общий вопрос и обмениваются разрешенными карточками, переводят терминологию, сопоставляют методы и объясняют различия контекста. Нельзя делать вывод о стране или культуре по одной группе.</w:t>
      </w:r>
    </w:p>
    <w:p>
      <w:r>
        <w:t>До передачи материалов определяются стороны, предмет, языки, права, режим данных, финансирование и порядок разрешения разногласий. Национальные требования проверяются по месту деятельности и фактической операции. [S12, S13]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Рамочные программы и рекомендации не объявляются обязательными российскими нормами. Ссылки на ЮНЕСКО и ООН не означают партнерства, аккредитации или одобрения ФЕНИКС.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24 / ФОРМА F-CS-01</w:t>
      </w:r>
    </w:p>
    <w:p>
      <w:pPr>
        <w:pStyle w:val="Heading1"/>
      </w:pPr>
      <w:r>
        <w:t>Личный маршрут саморазвития</w:t>
      </w:r>
    </w:p>
    <w:p>
      <w:pPr>
        <w:spacing w:after="240"/>
      </w:pPr>
      <w:r>
        <w:rPr>
          <w:color w:val="556774"/>
          <w:sz w:val="22"/>
        </w:rPr>
        <w:t>Заполняется самим участником совместно с наставником. Личные обстоятельства раскрываются только в необходимом объеме.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Имя или внутренний код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Мой вопрос и почему он важен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Один основной P-контур и один поддерживающий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уже умею / что пока не получается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Работа, которую хочу предъявить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 и необходимая помощь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Доступное время / удобный формат / адаптация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Первый шаг и дата короткой проверки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 пойму, что научился действовать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можно показать другим, а что остается личным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Участник вправе изменить цель, темп, способ ответа или прекратить маршрут. Подпись в форме не заменяет требуемые законом документы и согласия.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25 / ФОРМА F-CS-02</w:t>
      </w:r>
    </w:p>
    <w:p>
      <w:pPr>
        <w:pStyle w:val="Heading1"/>
      </w:pPr>
      <w:r>
        <w:t>Карточка культурной работы</w:t>
      </w:r>
    </w:p>
    <w:p>
      <w:pPr>
        <w:spacing w:after="240"/>
      </w:pPr>
      <w:r>
        <w:rPr>
          <w:color w:val="556774"/>
          <w:sz w:val="22"/>
        </w:rPr>
        <w:t>Для произведения, предмета, истории, ремесленной практики или собственного творческого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Название / автор карточки / версия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именно рассматривается или создается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Наблюдаемые детали: что видно, слышно, прочитано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Происхождение и контекст / ссылки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Слова рассказчика: где заканчивается свидетельство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Моя интерпретация и ее основания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Другая возможная трактовка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неизвестно или требует уточнения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на материалы / согласованный режим доступа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Отзыв к работе / исправление / следующая версия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 присваивать авторство и не публиковать чужую историю только потому, что она прозвучала на встрече. Режим использования проверяется отдельно. [S12, S13]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26 / ФОРМА F-CS-03</w:t>
      </w:r>
    </w:p>
    <w:p>
      <w:pPr>
        <w:pStyle w:val="Heading1"/>
      </w:pPr>
      <w:r>
        <w:t>Протокол учебного исследования</w:t>
      </w:r>
    </w:p>
    <w:p>
      <w:pPr>
        <w:spacing w:after="240"/>
      </w:pPr>
      <w:r>
        <w:rPr>
          <w:color w:val="556774"/>
          <w:sz w:val="22"/>
        </w:rPr>
        <w:t>Предназначен для безопасных наблюдений и расчетов. План фиксируется до сбора данных; изменения записываются с датой.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Код / вопрос / автор / наставник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Гипотеза или исследовательская задача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Объект, период и границы вывода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Метод / единицы / прибор / ограничения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Условия сравнения / альтернативные объяснения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Риски, разрешения и условие остановки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466"/>
        <w:gridCol w:w="4242"/>
        <w:gridCol w:w="3157"/>
      </w:tblGrid>
      <w:tr>
        <w:trPr>
          <w:tblHeader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Дата / условие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Исходная запись</w:t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Пропуск / замечание</w:t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Расчет и ссылка на исходный журнал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показали данные / чего они не показывают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Кто повторил расчет / нужен ли новый сбор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Результат может быть неопределенным. Не заменять отсутствие данных уверенностью или красотой объяснения.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27 / ФОРМА F-CS-04</w:t>
      </w:r>
    </w:p>
    <w:p>
      <w:pPr>
        <w:pStyle w:val="Heading1"/>
      </w:pPr>
      <w:r>
        <w:t>Карточка источника и проверки ИИ</w:t>
      </w:r>
    </w:p>
    <w:p>
      <w:pPr>
        <w:spacing w:after="240"/>
      </w:pPr>
      <w:r>
        <w:rPr>
          <w:color w:val="556774"/>
          <w:sz w:val="22"/>
        </w:rPr>
        <w:t>Один лист на важное утверждение. Для обычного источника блок ИИ отмечается как неприменимый.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Утверждение, которое проверяется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Автор / организация / название / дата / версия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Ссылка или точное место в документе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Тип: исследование, нормативный акт, свидетельство, интерпретация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Какие данные и какой контекст за утверждением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Независимая проверка / иной источник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источник не подтверждает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использования / допустимый объем публикации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ИИ: инструмент, дата, задача, сохраненный ответ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исправил человек / итоговый статус / проверяющий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Итоговый статус выбирается явно: подтверждено в указанных пределах; частично подтверждено; не установлено; опровергнуто источником. Формулировка и область вывода сохраняются вместе.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28 / ФОРМА F-CS-05</w:t>
      </w:r>
    </w:p>
    <w:p>
      <w:pPr>
        <w:pStyle w:val="Heading1"/>
      </w:pPr>
      <w:r>
        <w:t>Паспорт культурно-научного проекта</w:t>
      </w:r>
    </w:p>
    <w:p>
      <w:pPr>
        <w:spacing w:after="240"/>
      </w:pPr>
      <w:r>
        <w:rPr>
          <w:color w:val="556774"/>
          <w:sz w:val="22"/>
        </w:rPr>
        <w:t>Единая структура M01–M13. Для небольшого проекта достаточно краткого ответа и ссылки на приложение.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453"/>
        <w:gridCol w:w="6412"/>
      </w:tblGrid>
      <w:tr>
        <w:trPr>
          <w:tblHeader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Поле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Запись проекта</w:t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M01 / Идентификация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M02 / Потребность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M03 / Участники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M04 / Границы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M05 / Направления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M06 / Знания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M07 / Результат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M08 / План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M09 / Ресурсы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M10 / Финансирование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M11 / Право и безопасность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M12 / Данные и доказательства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M13 / Приемка и продолжение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Критерии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354"/>
        <w:gridCol w:w="3354"/>
        <w:gridCol w:w="3157"/>
      </w:tblGrid>
      <w:tr>
        <w:trPr>
          <w:tblHeader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Критерий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Как проверить</w:t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Подтверждение / статус</w:t>
            </w:r>
          </w:p>
        </w:tc>
      </w:tr>
      <w:tr>
        <w:trPr>
          <w:trHeight w:val="442"/>
          <w:cantSplit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442"/>
          <w:cantSplit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 M07 отдельно записать образ, рабочий эталон и факт. В M12 указать, где лежат первичные записи. Q01–Q20 прикладываются при старте и приемке.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29 / ФОРМА F-CS-06</w:t>
      </w:r>
    </w:p>
    <w:p>
      <w:pPr>
        <w:pStyle w:val="Heading1"/>
      </w:pPr>
      <w:r>
        <w:t>Проверка, обратная связь и новый цикл</w:t>
      </w:r>
    </w:p>
    <w:p>
      <w:pPr>
        <w:spacing w:after="240"/>
      </w:pPr>
      <w:r>
        <w:rPr>
          <w:color w:val="556774"/>
          <w:sz w:val="22"/>
        </w:rPr>
        <w:t>Заполняется по конкретной работе. Не используется для присвоения человеку общей оценки или места в рейтинге.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Проект / версия / дата / автор / проверяющий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3749"/>
        <w:gridCol w:w="3255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Критерий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Доказательство</w:t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Статус и замечание</w:t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получилось и может быть использовано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не установлено и требует доработки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Нарушения прав, безопасности или доступа / решение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Какой отзыв принял автор / что изменил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Разрешенная публикация / место в Архиве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Следующий вопрос, ответственный и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Статусы: принято по указанным критериям; принято с ограничениями; на доработку; остановлено до устранения риска. Решение сопровождается основанием и возможностью пересмотра.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30 / ИСТОЧНИКИ</w:t>
      </w:r>
    </w:p>
    <w:p>
      <w:pPr>
        <w:pStyle w:val="Heading1"/>
      </w:pPr>
      <w:r>
        <w:t>Методические и научные источники</w:t>
      </w:r>
    </w:p>
    <w:p>
      <w:pPr>
        <w:spacing w:after="240"/>
      </w:pPr>
      <w:r>
        <w:rPr>
          <w:color w:val="556774"/>
          <w:sz w:val="22"/>
        </w:rPr>
        <w:t>Дата подготовки и обращения к доступным страницам: 17 сентября 2026 года.</w:t>
      </w:r>
    </w:p>
    <w:p>
      <w:pPr>
        <w:spacing w:after="60"/>
      </w:pPr>
      <w:r>
        <w:rPr>
          <w:b/>
          <w:sz w:val="20"/>
        </w:rPr>
        <w:t>S01 / ЮНЕСКО. Рамочная программа в области культуры и художественного образования, 2024</w:t>
      </w:r>
    </w:p>
    <w:p>
      <w:pPr>
        <w:spacing w:after="40"/>
      </w:pPr>
      <w:r>
        <w:rPr>
          <w:sz w:val="19"/>
        </w:rPr>
        <w:t>Культура и искусство в обучении; международный методический ориентир.</w:t>
      </w:r>
    </w:p>
    <w:p>
      <w:pPr>
        <w:spacing w:after="180"/>
      </w:pPr>
      <w:hyperlink r:id="rId12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S02 / ЮНЕСКО. Руководство по реализации рамочной программы, 2025</w:t>
      </w:r>
    </w:p>
    <w:p>
      <w:pPr>
        <w:spacing w:after="40"/>
      </w:pPr>
      <w:r>
        <w:rPr>
          <w:sz w:val="19"/>
        </w:rPr>
        <w:t>Практическое руководство; страница обновлена 16.01.2026. Не оценка эффективности ФЕНИКС.</w:t>
      </w:r>
    </w:p>
    <w:p>
      <w:pPr>
        <w:spacing w:after="180"/>
      </w:pPr>
      <w:hyperlink r:id="rId13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S03 / ЮНЕСКО. Рекомендация об открытой науке, 2021</w:t>
      </w:r>
    </w:p>
    <w:p>
      <w:pPr>
        <w:spacing w:after="40"/>
      </w:pPr>
      <w:r>
        <w:rPr>
          <w:sz w:val="19"/>
        </w:rPr>
        <w:t>Прозрачность методов, обмен знаниями и ответственная открытость.</w:t>
      </w:r>
    </w:p>
    <w:p>
      <w:pPr>
        <w:spacing w:after="180"/>
      </w:pPr>
      <w:hyperlink r:id="rId14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S04 / ЮНЕСКО. Рекомендация об открытых образовательных ресурсах, 2019</w:t>
      </w:r>
    </w:p>
    <w:p>
      <w:pPr>
        <w:spacing w:after="40"/>
      </w:pPr>
      <w:r>
        <w:rPr>
          <w:sz w:val="19"/>
        </w:rPr>
        <w:t>Общественное достояние и открытое лицензирование; бесплатный доступ не равен разрешению переработки.</w:t>
      </w:r>
    </w:p>
    <w:p>
      <w:pPr>
        <w:spacing w:after="180"/>
      </w:pPr>
      <w:hyperlink r:id="rId15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S05 / Karpicke J. D., Blunt J. R. Retrieval practice produces more learning than elaborative studying with concept mapping. Science, 2011</w:t>
      </w:r>
    </w:p>
    <w:p>
      <w:pPr>
        <w:spacing w:after="40"/>
      </w:pPr>
      <w:r>
        <w:rPr>
          <w:sz w:val="19"/>
        </w:rPr>
        <w:t>DOI: 10.1126/science.1199327. Экспериментальная работа об извлечении из памяти при изучении текстов; не универсальная гарантия.</w:t>
      </w:r>
    </w:p>
    <w:p>
      <w:pPr>
        <w:spacing w:after="180"/>
      </w:pPr>
      <w:hyperlink r:id="rId16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S06 / National Academies. Reproducibility and Replicability in Science, 2019</w:t>
      </w:r>
    </w:p>
    <w:p>
      <w:pPr>
        <w:spacing w:after="40"/>
      </w:pPr>
      <w:r>
        <w:rPr>
          <w:sz w:val="19"/>
        </w:rPr>
        <w:t>DOI: 10.17226/25303. Различение повторного расчета, нового исследования и переносимости вывода.</w:t>
      </w:r>
    </w:p>
    <w:p>
      <w:pPr>
        <w:spacing w:after="180"/>
      </w:pPr>
      <w:hyperlink r:id="rId17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S07 / ЮНЕСКО. Рекомендация об этических аспектах искусственного интеллекта, 2021</w:t>
      </w:r>
    </w:p>
    <w:p>
      <w:pPr>
        <w:spacing w:after="40"/>
      </w:pPr>
      <w:r>
        <w:rPr>
          <w:sz w:val="19"/>
        </w:rPr>
        <w:t>Человеческая ответственность и надзор; методический ориентир, не сертификат соответствия.</w:t>
      </w:r>
    </w:p>
    <w:p>
      <w:pPr>
        <w:spacing w:after="180"/>
      </w:pPr>
      <w:hyperlink r:id="rId18">
        <w:r>
          <w:rPr>
            <w:color w:val="277B83"/>
            <w:sz w:val="18"/>
          </w:rPr>
          <w:t>Открыть источник</w:t>
        </w:r>
      </w:hyperlink>
    </w:p>
    <w:p>
      <w:r>
        <w:t>Модули U01–U08, длительность, формы, критерии и примеры — проектные решения данного комплекта. Приведенные источники не подтверждают эффективность ФЕНИКС и не означают одобрения программы организациями-авторами.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31 / ИСТОЧНИКИ</w:t>
      </w:r>
    </w:p>
    <w:p>
      <w:pPr>
        <w:pStyle w:val="Heading1"/>
      </w:pPr>
      <w:r>
        <w:t>Правовая опора и преемственность</w:t>
      </w:r>
    </w:p>
    <w:p>
      <w:pPr>
        <w:spacing w:after="240"/>
      </w:pPr>
      <w:r>
        <w:rPr>
          <w:color w:val="556774"/>
          <w:sz w:val="22"/>
        </w:rPr>
        <w:t>Дата подготовки и обращения к доступным страницам: 17 сентября 2026 года.</w:t>
      </w:r>
    </w:p>
    <w:p>
      <w:pPr>
        <w:spacing w:after="60"/>
      </w:pPr>
      <w:r>
        <w:rPr>
          <w:b/>
          <w:sz w:val="20"/>
        </w:rPr>
        <w:t>S08 / Конституция Российской Федерации, статьи 43–44</w:t>
      </w:r>
    </w:p>
    <w:p>
      <w:pPr>
        <w:spacing w:after="40"/>
      </w:pPr>
      <w:r>
        <w:rPr>
          <w:sz w:val="19"/>
        </w:rPr>
        <w:t>Официальная страница Минюста: образование, самообразование, творчество и участие в культурной жизни.</w:t>
      </w:r>
    </w:p>
    <w:p>
      <w:pPr>
        <w:spacing w:after="180"/>
      </w:pPr>
      <w:hyperlink r:id="rId19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S09 / Федеральный закон от 29.12.2012 № 273-ФЗ «Об образовании в Российской Федерации»</w:t>
      </w:r>
    </w:p>
    <w:p>
      <w:pPr>
        <w:spacing w:after="40"/>
      </w:pPr>
      <w:r>
        <w:rPr>
          <w:sz w:val="19"/>
        </w:rPr>
        <w:t>Официальное первоначальное опубликование. Для запуска проверяются актуальная редакция и фактический формат, включая статью 91.</w:t>
      </w:r>
    </w:p>
    <w:p>
      <w:pPr>
        <w:spacing w:after="180"/>
      </w:pPr>
      <w:hyperlink r:id="rId20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S10 / Федеральный закон от 23.08.1996 № 127-ФЗ «О науке и государственной научно-технической политике»</w:t>
      </w:r>
    </w:p>
    <w:p>
      <w:pPr>
        <w:spacing w:after="40"/>
      </w:pPr>
      <w:r>
        <w:rPr>
          <w:sz w:val="19"/>
        </w:rPr>
        <w:t>Официальная карточка Минюста. Упоминание закона не придает учебному кружку статус научной организации.</w:t>
      </w:r>
    </w:p>
    <w:p>
      <w:pPr>
        <w:spacing w:after="180"/>
      </w:pPr>
      <w:hyperlink r:id="rId21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S11 / Основы законодательства Российской Федерации о культуре от 09.10.1992 № 3612-1</w:t>
      </w:r>
    </w:p>
    <w:p>
      <w:pPr>
        <w:spacing w:after="40"/>
      </w:pPr>
      <w:r>
        <w:rPr>
          <w:sz w:val="19"/>
        </w:rPr>
        <w:t>Текст на сайте регионального министерства культуры, опубликованный в 2023 году; не подтверждает полноту последующих изменений.</w:t>
      </w:r>
    </w:p>
    <w:p>
      <w:pPr>
        <w:spacing w:after="180"/>
      </w:pPr>
      <w:hyperlink r:id="rId22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S12 / Федеральный закон от 27.07.2006 № 152-ФЗ «О персональных данных»</w:t>
      </w:r>
    </w:p>
    <w:p>
      <w:pPr>
        <w:spacing w:after="40"/>
      </w:pPr>
      <w:r>
        <w:rPr>
          <w:sz w:val="19"/>
        </w:rPr>
        <w:t>Официальный ведомственный текст. Проверяются цель, основание, объем, доступ, хранение и передача данных.</w:t>
      </w:r>
    </w:p>
    <w:p>
      <w:pPr>
        <w:spacing w:after="180"/>
      </w:pPr>
      <w:hyperlink r:id="rId23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S13 / Гражданский кодекс Российской Федерации, часть четвертая</w:t>
      </w:r>
    </w:p>
    <w:p>
      <w:pPr>
        <w:spacing w:after="40"/>
      </w:pPr>
      <w:r>
        <w:rPr>
          <w:sz w:val="19"/>
        </w:rPr>
        <w:t>Официальная страница Роспатента. Права на произведения, условия использования и переработки материалов.</w:t>
      </w:r>
    </w:p>
    <w:p>
      <w:pPr>
        <w:spacing w:after="180"/>
      </w:pPr>
      <w:hyperlink r:id="rId24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S14 / ООН. Всеобщая декларация прав человека, 1948, статья 27</w:t>
      </w:r>
    </w:p>
    <w:p>
      <w:pPr>
        <w:spacing w:after="40"/>
      </w:pPr>
      <w:r>
        <w:rPr>
          <w:sz w:val="19"/>
        </w:rPr>
        <w:t>Участие в культурной жизни, доступ к научному прогрессу и защита интересов автора. Декларация не является договором о партнерстве.</w:t>
      </w:r>
    </w:p>
    <w:p>
      <w:pPr>
        <w:spacing w:after="180"/>
      </w:pPr>
      <w:hyperlink r:id="rId25">
        <w:r>
          <w:rPr>
            <w:color w:val="277B83"/>
            <w:sz w:val="18"/>
          </w:rPr>
          <w:t>Открыть источник</w:t>
        </w:r>
      </w:hyperlink>
    </w:p>
    <w:p>
      <w:r>
        <w:t>Внутренняя основа: «ФЕНИКС — Эволюционная система», v1.0, и «Конструктор идеального эталона», v1.0, предоставленные в этой работе. Сохранены P01–P13, D01–D19, M01–M13, Q01–Q20. Иллюстрация на обложке — фрагмент ранее созданного изображения ФЕНИКС.</w:t>
      </w:r>
    </w:p>
    <w:sectPr w:rsidR="00FC693F" w:rsidRPr="0006063C" w:rsidSect="00034616">
      <w:headerReference w:type="default" r:id="rId9"/>
      <w:footerReference w:type="default" r:id="rId10"/>
      <w:footerReference w:type="first" r:id="rId26"/>
      <w:footerReference w:type="even" r:id="rId27"/>
      <w:pgSz w:w="11906" w:h="16838"/>
      <w:pgMar w:top="907" w:right="1020" w:bottom="907" w:left="1020" w:header="369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56774"/>
        <w:sz w:val="16"/>
      </w:rPr>
      <w:t>Рабочая концепция 1.0  •  17.09.2026</w:t>
    </w:r>
    <w:r>
      <w:rPr>
        <w:sz w:val="16"/>
      </w:rPr>
      <w:t xml:space="preserve">            ФЕНИКС — ОСНОВЫ САМОРАЗВИТИЯ  |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6774"/>
        <w:sz w:val="16"/>
      </w:rPr>
      <w:t>ФЕНИКС  /  ЗНАНИЯ И ЭНЕРГИЯ                                      КУЛЬТУРА И НАУКА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Arial" w:hAnsi="Arial"/>
      <w:color w:val="18354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8354E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277B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18354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8354E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71" w:lineRule="auto"/>
    </w:pPr>
    <w:rPr>
      <w:rFonts w:ascii="Arial" w:hAnsi="Arial"/>
      <w:color w:val="18354E"/>
      <w:sz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1" w:lineRule="auto" w:after="120"/>
    </w:pPr>
    <w:rPr>
      <w:rFonts w:ascii="Arial" w:hAnsi="Arial"/>
      <w:b/>
      <w:bCs/>
      <w:color w:val="18354E"/>
      <w:sz w:val="23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www.unesco.org/en/articles/unesco-member-states-adopt-global-framework-strengthen-culture-and-arts-education" TargetMode="External"/><Relationship Id="rId13" Type="http://schemas.openxmlformats.org/officeDocument/2006/relationships/hyperlink" Target="https://www.unesco.org/en/articles/implementation-guidance-unesco-framework-culture-and-arts-education" TargetMode="External"/><Relationship Id="rId14" Type="http://schemas.openxmlformats.org/officeDocument/2006/relationships/hyperlink" Target="https://www.unesco.org/en/legal-affairs/recommendation-open-science" TargetMode="External"/><Relationship Id="rId15" Type="http://schemas.openxmlformats.org/officeDocument/2006/relationships/hyperlink" Target="https://www.unesco.org/en/legal-affairs/recommendation-open-educational-resources-oer" TargetMode="External"/><Relationship Id="rId16" Type="http://schemas.openxmlformats.org/officeDocument/2006/relationships/hyperlink" Target="https://pubmed.ncbi.nlm.nih.gov/21252317/" TargetMode="External"/><Relationship Id="rId17" Type="http://schemas.openxmlformats.org/officeDocument/2006/relationships/hyperlink" Target="https://www.nationalacademies.org/read/25303/chapter/6" TargetMode="External"/><Relationship Id="rId18" Type="http://schemas.openxmlformats.org/officeDocument/2006/relationships/hyperlink" Target="https://www.unesco.org/en/legal-affairs/recommendation-ethics-artificial-intelligence" TargetMode="External"/><Relationship Id="rId19" Type="http://schemas.openxmlformats.org/officeDocument/2006/relationships/hyperlink" Target="https://minjust.gov.ru/ru/documents/8011/" TargetMode="External"/><Relationship Id="rId20" Type="http://schemas.openxmlformats.org/officeDocument/2006/relationships/hyperlink" Target="https://publication.pravo.gov.ru/document/0001201212300007" TargetMode="External"/><Relationship Id="rId21" Type="http://schemas.openxmlformats.org/officeDocument/2006/relationships/hyperlink" Target="https://www.minjust.gov.ru/ru/documents/7653/" TargetMode="External"/><Relationship Id="rId22" Type="http://schemas.openxmlformats.org/officeDocument/2006/relationships/hyperlink" Target="https://mk.alania.gov.ru/documents/3153" TargetMode="External"/><Relationship Id="rId23" Type="http://schemas.openxmlformats.org/officeDocument/2006/relationships/hyperlink" Target="https://mintrud.gov.ru/docs/laws/130" TargetMode="External"/><Relationship Id="rId24" Type="http://schemas.openxmlformats.org/officeDocument/2006/relationships/hyperlink" Target="https://rospatent.gov.ru/ru/documents/grazhdanskiy-kodeks-rossiyskoy-federacii-chast-chetvertaya" TargetMode="External"/><Relationship Id="rId25" Type="http://schemas.openxmlformats.org/officeDocument/2006/relationships/hyperlink" Target="https://www.un.org/en/node/124305" TargetMode="External"/><Relationship Id="rId26" Type="http://schemas.openxmlformats.org/officeDocument/2006/relationships/footer" Target="footer2.xml"/><Relationship Id="rId27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Основы саморазвития. Культура и наука</dc:title>
  <dc:subject>Учебно-методический модуль программы «Знания и энергия»</dc:subject>
  <dc:creator/>
  <cp:keywords>ФЕНИКС, культура, наука, саморазвитие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