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ЭКВИЛИБРИУМ · 1895–2025</w:t>
      </w:r>
    </w:p>
    <w:p>
      <w:pPr>
        <w:pStyle w:val="Title"/>
      </w:pPr>
      <w:r>
        <w:t>Анализ мировых балансов — 130 лет</w:t>
      </w:r>
    </w:p>
    <w:p>
      <w:r>
        <w:t>Редакционный пакет · Версия 1.0 · 03.10.2026</w:t>
      </w:r>
    </w:p>
    <w:p>
      <w:r>
        <w:t>Подготовлено по предоставленным DOCX и PPTX. Авторская концепция и рабочие предложения; численные рейтинги и результаты валидации в исходниках отсутствуют.</w:t>
      </w:r>
    </w:p>
    <w:p>
      <w:r>
        <w:br w:type="page"/>
      </w:r>
    </w:p>
    <w:p>
      <w:pPr>
        <w:pStyle w:val="Heading1"/>
      </w:pPr>
      <w:r>
        <w:t>1. Предмет, происхождение и границы материалов</w:t>
      </w:r>
    </w:p>
    <w:p>
      <w:r>
        <w:t>Этот аналитический пакет подготовлен на основе предоставленных документа и презентации «Анализ мировых балансов — 130 лет». Их предмет — эволюция мирового развития в интервале 1895–2025 годов и предложение многомерного подхода ЭКВИЛИБРИУМ. Источники рассматривают взаимозависимость людей, ресурсов, экономики, технологий, культуры и безопасности. Основная управленческая задача состоит в том, чтобы видеть последствия решений за пределами непосредственного финансового результата. Пакет предназначен для ознакомления, содержательного обсуждения и подготовки проверяемой программы работ.</w:t>
      </w:r>
    </w:p>
    <w:p>
      <w:r>
        <w:t>Исходники не содержат полного численного датасета, вычисленных индексов, правил нормализации показателей или подтверждённых результатов пилотов. Поэтому изложенные профили и исторические обобщения следует читать как авторскую концепцию. В настоящей редакции дополнительно предложены способы оформления данных, постановки вопросов и приёмки подготовительных этапов. Эти дополнения являются рабочими рекомендациями, а не результатами внешней экспертизы. Дата публикации пакета не меняет границу исторического обзора: сведения после 2025 года автоматически в него не добавляются. Для принятия конкретных решений потребуется отдельная проверка фактов, применимости источников и условий проекта.</w:t>
      </w:r>
    </w:p>
    <w:p>
      <w:pPr>
        <w:pStyle w:val="Heading1"/>
      </w:pPr>
      <w:r>
        <w:t>2. Развитие как сочетание возможностей и обязательств</w:t>
      </w:r>
    </w:p>
    <w:p>
      <w:r>
        <w:t>В исходных материалах история прочитывается через накопление возможностей и связанных с ними обязательств. Производство требует сырья, энергии, воды, территорий и труда; инфраструктура создаёт полезные связи и одновременно нуждается в обслуживании; технологический прогресс зависит от образования и научной среды. Такая рамка помогает поставить вопрос о цене достигнутого результата: какие ограничения снимает решение, какие новые зависимости оно формирует и на кого переходят издержки. Ответ не может быть получен из единственного показателя размера экономики.</w:t>
      </w:r>
    </w:p>
    <w:p>
      <w:r>
        <w:t>Идею смены источников силы следует понимать как изменение их сочетания. Ресурсы и промышленность сохраняют значение при росте роли финансов, технологий, знаний и данных. Для конкретной территории важны доступность этих факторов, способность превращать их в полезные результаты и устойчивость связей между ними. Концепция предлагает рассматривать качество жизни и состояние природной среды как самостоятельные предметы оценки. Это ценностная и методологическая позиция авторов. Она не задаёт готовой универсальной формулы, которая разрешает все противоречия между ростом, безопасностью, доступностью услуг и экологическими ограничениями.</w:t>
      </w:r>
    </w:p>
    <w:p>
      <w:pPr>
        <w:pStyle w:val="Heading1"/>
      </w:pPr>
      <w:r>
        <w:t>3. Историческая рамка: 1895–1970</w:t>
      </w:r>
    </w:p>
    <w:p>
      <w:r>
        <w:t>Период 1895–1914 годов описан как индустриальное ускорение: пар, сталь, железные дороги, электричество и телеграф расширяют возможности производства и обмена. Авторы обращают внимание на несогласованность хозяйственного роста, институтов и социальных отношений. Этот ракурс предлагает учитывать распределение выгод и издержек, а также условия использования ресурсов. Он не подменяет исследование конкретных стран и не предполагает единственной причины всех конфликтов эпохи.</w:t>
      </w:r>
    </w:p>
    <w:p>
      <w:r>
        <w:t>В периоде 1914–1945 годов на первый план поставлены мировые войны, мобилизационная промышленность, нефть, авиация и радио. Через балансовую рамку рассматривается высокая человеческая и инфраструктурная цена разрушения. Для 1945–1970 годов выделены восстановление, развитие инфраструктуры, атомной энергетики, международных институтов и начало космической эры. Улучшение возможностей в индустриальных центрах сопряжено с потребностями в энергии и материалах. Общая мысль трёх периодов состоит в необходимости рассматривать долговременные последствия преобразований наряду с непосредственными достижениями. Выбранные границы условны: они организуют обзор, но не означают одновременного начала и завершения процессов во всех обществах.</w:t>
      </w:r>
    </w:p>
    <w:p>
      <w:pPr>
        <w:pStyle w:val="Heading1"/>
      </w:pPr>
      <w:r>
        <w:t>4. Историческая рамка: 1970–2025</w:t>
      </w:r>
    </w:p>
    <w:p>
      <w:r>
        <w:t>Для 1970–1991 годов в пакете используется название «Энергетические шоки и технологическая гонка». Оно точнее обозначает рассматриваемый фрагмент и не создаёт впечатления, будто холодная война началась в 1970 году. Исходники выделяют нефтяные шоки, вычислительные системы, спутники, системное планирование и военно-промышленные комплексы. Вопросы экологической обратной связи и стоимости противостояния входят в авторскую интерпретацию ограничений этого периода.</w:t>
      </w:r>
    </w:p>
    <w:p>
      <w:r>
        <w:t>Интервал 1991–2020 годов связан в концепции с глобализацией, контейнерной логистикой, интернетом, финансовыми рынками, платформами и ростом Китая. Наряду с эффективностью производственных цепочек рассматриваются зависимости от внешних связей и концентрации данных. Для 2020–2025 годов названы пандемия, санкционные контуры, энергетическая перестройка, искусственный интеллект, электрификация и климатические риски. Термин «порог Нового Уклада» выражает авторскую гипотезу о направлении изменений. Переход к многомерной устойчивости здесь является задачей проектирования. Он не представлен в пакете как уже достигнутое состояние мировой экономики. Проверка отдельных исторических тезисов потребует тематических исследований и точного определения территорий, показателей и временных рядов.</w:t>
      </w:r>
    </w:p>
    <w:p>
      <w:pPr>
        <w:pStyle w:val="Heading1"/>
      </w:pPr>
      <w:r>
        <w:t>5. Двенадцать контуров: организация предметных областей</w:t>
      </w:r>
    </w:p>
    <w:p>
      <w:r>
        <w:t>Первый уровень архитектуры включает население, энергию, промышленность, финансы, транспорт и науку. В этих областях исходники предлагают учитывать демографию и здоровье, надёжность энергоснабжения, производственные цепочки, инвестиции и расчёты, движение людей и ресурсов, исследовательские школы и инженерные кадры. Каждый контур получает собственную предметную область и круг источников. Это помогает обсуждать потребности в данных, не смешивая технические параметры, социальные характеристики и денежные оценки.</w:t>
      </w:r>
    </w:p>
    <w:p>
      <w:r>
        <w:t>Остальные контуры — технологии, продовольствие, вода, экология, культура и безопасность. Они охватывают цифровые инструменты и материалы, доступность питания, водные ресурсы и санитарную инфраструктуру, природные системы, язык и память, устойчивость к угрозам и нарушениям связей. Контуры взаимозависимы: например, продовольствие связано с водой, почвами, энергией, транспортом и доступностью для населения. Для рабочего применения предлагается определить терминологию, границы наблюдения и владельца данных по каждой области. Вопрос о связи контуров с девятнадцатью балансами должен быть оформлен отдельно. Исходники не задают математически однозначного соответствия, поэтому его нельзя считать уже согласованным элементом метода.</w:t>
      </w:r>
    </w:p>
    <w:p>
      <w:pPr>
        <w:pStyle w:val="Heading1"/>
      </w:pPr>
      <w:r>
        <w:t>6. Девятнадцать балансов: язык проектных вопросов</w:t>
      </w:r>
    </w:p>
    <w:p>
      <w:r>
        <w:t>Вторая классификация включает демографический, энергетический, водный, земельный, продовольственный, сырьевой, промышленный, транспортно-логистический, финансовый, научно-технологический и образовательный балансы. Далее следуют баланс здоровья и качества жизни, экологический, культурно-смысловой, управленческий, информационно-цифровой, безопасности, международной кооперации и межпоколенческий. В исходном документе каждому из них приписывается необходимость набора показателей, источников, ответственных институтов и проектных решений. Подробные спецификации таких наборов не приведены.</w:t>
      </w:r>
    </w:p>
    <w:p>
      <w:r>
        <w:t>Поэтому первый практический шаг — составить карточку каждого баланса: что оценивается, на какой территории и горизонте, какие данные доступны и как предполагается интерпретировать изменения. Слово «баланс» не означает, что для всех областей уже существует одинаковое уравнение прихода и расхода. Для воды, финансов, здоровья и культуры понадобятся разные методы измерения. Межпоколенческий баланс направляет внимание на последствия, выходящие за срок проекта, но сам по себе не даёт способа точно измерить будущую ценность. Полнота перечня также не гарантирует полноты оценки: существенные местные условия и заинтересованные группы должны быть выявлены при подготовке конкретного проекта.</w:t>
      </w:r>
    </w:p>
    <w:p>
      <w:pPr>
        <w:pStyle w:val="Heading1"/>
      </w:pPr>
      <w:r>
        <w:t>7. Профили центров силы и ограничения сравнения</w:t>
      </w:r>
    </w:p>
    <w:p>
      <w:r>
        <w:t>Россия в авторском профиле связана с ресурсами, территорией, водой, энергетикой и фундаментальной наукой; вопросы развития относятся к демографии, технологической локализации, использованию знаний и инфраструктурным связям. В профиле Китая выделены производство, инфраструктура, масштабирование и кооперация, а среди ограничений — демография, энергетическая зависимость, экологическая нагрузка и внешние рынки. Для США названы финансы, университеты, цифровые платформы, оборонные технологии и предпринимательство; обсуждаемые риски относятся к долгу, поляризации, инфраструктуре и доверию к институтам.</w:t>
      </w:r>
    </w:p>
    <w:p>
      <w:r>
        <w:t>Европейский профиль акцентирует стандарты, культуру, регулирование, качество жизни и экологическую повестку; вопросы касаются энергии, промышленности, миграции и политической согласованности. Мировой уровень обозначает общую научную базу, коммуникации и трансграничные риски. Все эти характеристики являются качественным взглядом авторов, а не актуальным измеренным рейтингом. Для сравнения необходимо определить состав Европы, одинаковые годы наблюдения, единицы измерения и источники. Мир включает рассматриваемые территории, поэтому не может выступать независимым участником той же таблицы. Перечень также не охватывает все значимые страны и регионы; расширение выборки требует отдельного обоснования.</w:t>
      </w:r>
    </w:p>
    <w:p>
      <w:pPr>
        <w:pStyle w:val="Heading1"/>
      </w:pPr>
      <w:r>
        <w:t>8. Многомерная оценка и работа с отсутствующими данными</w:t>
      </w:r>
    </w:p>
    <w:p>
      <w:r>
        <w:t>Предлагаемый профиль развития состоит из шести измерений: ресурсная база, энергетическая устойчивость, научно-технологический потенциал, качество жизни, экологический баланс и связанность управления. Такой формат позволяет обсуждать разные стороны положения без обязательного сведения их в итоговый балл. Для каждой оси потребуется определить наблюдаемые показатели, способы сравнения и ограничения. Нельзя автоматически присваивать значения по общим описаниям стран: это создало бы видимость расчёта, которого в материалах нет.</w:t>
      </w:r>
    </w:p>
    <w:p>
      <w:r>
        <w:t>Рабочие таблицы предлагается заполнять с явным различением наблюдений, оценок, гипотез и отсутствующих сведений. Неизвестное значение не следует заменять нулём или нейтральной оценкой. Если используются данные разных лет, территорий или методик, это должно быть видно читателю. До появления обоснованной модели агрегирования полезнее публиковать отдельные характеристики и их качество, чем искусственный общий рейтинг. Для исторических рядов особенно важны изменения границ, определений и способов учёта. Эти требования являются предлагаемой организацией последующей работы; сам пакет не устраняет указанные проблемы и не подтверждает сопоставимость рекомендованных в исходниках источников.</w:t>
      </w:r>
    </w:p>
    <w:p>
      <w:pPr>
        <w:pStyle w:val="Heading1"/>
      </w:pPr>
      <w:r>
        <w:t>9. Матрица 19×19: от предположения к проверке</w:t>
      </w:r>
    </w:p>
    <w:p>
      <w:r>
        <w:t>Матрица организует обсуждение того, как изменение в одной области может затронуть другую. Для каждой пары балансов предлагается формулировать конкретную гипотезу, указывать механизм связи, временной горизонт, затрагиваемые группы и необходимые доказательства. Например, энергетическая установка может требовать воду, землю, транспорт, инвестиции и специалистов. Возможные последствия зависят от технологии, местоположения, масштаба и условий эксплуатации; один общий знак воздействия здесь недостаточен.</w:t>
      </w:r>
    </w:p>
    <w:p>
      <w:r>
        <w:t>Начальная версия матрицы может содержать вопросы и ссылки на материалы вместо числовых коэффициентов. Пустая ячейка означает отсутствие заполненной оценки, а не отсутствие влияния. Направления связей могут различаться, поэтому симметрию матрицы нельзя предполагать заранее. Отдельно следует рассматривать воздействие проекта и внешние факторы, которые могут изменить результат независимо от него. При появлении количественной модели потребуется описать единицы, формулы, допущения и проверку чувствительности. До этого матрица служит инструментом систематизации гипотез. Она не доказывает причинность, не гарантирует снижение рисков и не заменяет техническую, экологическую или иную необходимую экспертизу конкретного решения.</w:t>
      </w:r>
    </w:p>
    <w:p>
      <w:pPr>
        <w:pStyle w:val="Heading1"/>
      </w:pPr>
      <w:r>
        <w:t>10. Паспорт проекта, архив доказательств и сценарии</w:t>
      </w:r>
    </w:p>
    <w:p>
      <w:r>
        <w:t>Цифровой паспорт связывает цель проекта с границами оценки. В рабочем шаблоне предлагается фиксировать площадку, участников, проблему, исходное состояние, рассматриваемые варианты, ресурсы, затронутые балансы, ожидаемые изменения и ответственных. Существенны условия пересмотра решения: какие сведения могут опровергнуть гипотезу, какой риск потребует остановки и кто уполномочен оценивать результат. Заполненный паспорт должен оставаться понятным человеку, который не участвовал в первоначальном обсуждении.</w:t>
      </w:r>
    </w:p>
    <w:p>
      <w:r>
        <w:t>Архив доказательств сохраняет происхождение утверждений: документ или набор данных, дату доступа, версию, способ обработки и связь с конкретным выводом. Редакционно предлагается отделять первичные наблюдения от интерпретаций и сохранять предыдущие версии при исправлениях. Вычислительный ГРИД в концепции предназначен для сценарного анализа. В предоставленных материалах отсутствуют техническая спецификация, реализация модели и результаты её испытаний. Поэтому готовность такого инструмента нельзя предполагать. Сначала необходимо определить вопросы сценария, входные данные, ограничения и способы проверки. Результат вычисления имеет смысл только вместе с этими условиями и не приобретает достоверность от одного факта автоматизации.</w:t>
      </w:r>
    </w:p>
    <w:p>
      <w:pPr>
        <w:pStyle w:val="Heading1"/>
      </w:pPr>
      <w:r>
        <w:t>11. Пилотные направления и международная кооперация</w:t>
      </w:r>
    </w:p>
    <w:p>
      <w:r>
        <w:t>В презентации названы Город знания, ECO-PPA GLOBAL, архив сохранения наследия и биоценозные точки мониторинга. Документ также связывает проверку с вычислительным ГРИД. Эти позиции следует рассматривать как направления для отбора конкретных проектов. Расшифровка и детальное содержание ECO-PPA GLOBAL в предоставленных материалах не установлены; при подготовке паспорта их необходимо уточнить. Различие формулировок источников не позволяет без дополнительного решения зафиксировать окончательный перечень и количество пилотов.</w:t>
      </w:r>
    </w:p>
    <w:p>
      <w:r>
        <w:t>Для кандидата в пилоты предлагается проверить наличие владельца, доступность исходных данных, определённость площадки, измеримость предполагаемого эффекта и возможность наблюдения побочных последствий. Сроки и критерии оценки устанавливаются до запуска. Международная кооперация в концепции представлена условным сценарием: предполагаются доверие, верификация, уважение суверенитета и согласованные правила. Возможный эффект сотрудничества не вычислен и не гарантирован. Для практического обсуждения нужны конкретный предмет взаимодействия, полномочия сторон, режим доступа к данным и ответственность за проверку. Общая идея согласования интересов не снимает существующих разногласий и не подтверждает наличие договорённостей между участниками.</w:t>
      </w:r>
    </w:p>
    <w:p>
      <w:pPr>
        <w:pStyle w:val="Heading1"/>
      </w:pPr>
      <w:r>
        <w:t>12. Первые 90 дней и решение о продолжении</w:t>
      </w:r>
    </w:p>
    <w:p>
      <w:r>
        <w:t>Первые пятнадцать дней отводятся на рабочую группу, словарь и согласование структуры анализа. Затем предлагается подготовить начальный набор показателей и карту источников; на следующем этапе — качественные профили с явными ограничениями сравнения. Дни 45–60 посвящаются межбалансовым гипотезам для выбранных кандидатов, дни 60–75 — паспорту и архиву доказательств. Заключительный этап объединяет доклад, презентацию и решение о пилотировании. Конкретная численность команды, бюджет и объём данных должны быть определены отдельно.</w:t>
      </w:r>
    </w:p>
    <w:p>
      <w:r>
        <w:t>Приёмка этапов в настоящем пакете связана с проверяемостью документов: определения согласованы, происхождение данных прослеживается, пробелы обозначены, гипотезы отделены от результатов, назначены ответственные. Возможные итоги подготовки — запуск ограниченного пилота, доработка методики или отказ от неподготовленного направления. Любой из них должен иметь зафиксированные основания. Полный сопоставимый мировой ряд за 130 лет не является гарантированным результатом этого срока. Долговременная устойчивость также не может быть доказана завершением подготовительного календаря. Решение о масштабировании относится к следующему этапу и зависит от полученных наблюдений, качества проверки и применимости результатов к новым условиям.</w:t>
      </w:r>
    </w:p>
    <w:p>
      <w:pPr>
        <w:pStyle w:val="Heading1"/>
      </w:pPr>
      <w:r>
        <w:t>13. Источники и правила использования пакета</w:t>
      </w:r>
    </w:p>
    <w:p>
      <w:r>
        <w:t>Исходный документ рекомендует World Population Prospects 2024 ООН, World Energy Outlook 2024 и Global Energy Review 2025 IEA, World Bank Data, Our World in Data, FAO AQUASTAT и UN-Water. Это направления поиска фактологической базы. Их упоминание не означает, что каждая оценка концепции подтверждена этими организациями, и не свидетельствует об их участии в проекте. Перед использованием конкретного показателя необходимо открыть соответствующий набор данных или публикацию, проверить определение, охват, дату и ограничения.</w:t>
      </w:r>
    </w:p>
    <w:p>
      <w:r>
        <w:t>Пакет можно использовать для вводной встречи, обсуждения исследовательской программы и заполнения рабочих шаблонов. При цитировании следует сохранять название, период 1895–2025 и различие между исходной концепцией и редакционными предложениями. Демонстрационные формы не следует выдавать за завершённое исследование или подписанные обязательства. Смысл подготовки состоит в создании общей основы для дальнейшей проверки. Ценностная формула о следующих 130 годах обозначает ответственность перед будущими поколениями. Она задаёт направление обсуждения жизни, знаний, воды, земли, энергии и достоинства человека, но не является прогнозом с рассчитанной вероятностью или утверждённой программой мировой политики.</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ЭКВИЛИБРИУМ · Мировые балансы · 1.0                     </w:t>
    </w:r>
    <w:fldSimple w:instr="PAGE"/>
  </w:p>
  <w:p>
    <w:pPr>
      <w:spacing w:before="60" w:after="0"/>
    </w:pPr>
    <w:r>
      <w:rPr>
        <w:sz w:val="16"/>
      </w:rPr>
      <w:t>https://equilibrium-system.com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12C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12C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12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мировых балансов — 130 лет</dc:title>
  <dc:subject>Редакционные материалы по концепции. Исторический период 1895–2025.</dc:subject>
  <dc:creator>ЭКВИЛИБРИУМ</dc:creator>
  <cp:keywords/>
  <dc:description>generated by python-docx</dc:description>
  <cp:lastModifiedBy/>
  <cp:revision>1</cp:revision>
  <dcterms:created xsi:type="dcterms:W3CDTF">2013-12-23T23:15:00Z</dcterms:created>
  <dcterms:modified xsi:type="dcterms:W3CDTF">2013-12-23T23:15:00Z</dcterms:modified>
  <cp:category/>
</cp:coreProperties>
</file>