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val="0"/>
        </w:rPr>
      </w:r>
      <w:r>
        <w:drawing>
          <wp:inline xmlns:a="http://schemas.openxmlformats.org/drawingml/2006/main" xmlns:pic="http://schemas.openxmlformats.org/drawingml/2006/picture">
            <wp:extent cx="1645920" cy="1097280"/>
            <wp:docPr id="1" name="Picture 1" descr="Логотип группы компаний ИНМОРТРАНС"/>
            <wp:cNvGraphicFramePr>
              <a:graphicFrameLocks noChangeAspect="1"/>
            </wp:cNvGraphicFramePr>
            <a:graphic>
              <a:graphicData uri="http://schemas.openxmlformats.org/drawingml/2006/picture">
                <pic:pic>
                  <pic:nvPicPr>
                    <pic:cNvPr id="0" name="Логотип ИНМОРТРАНС в сине-бирюзовой гамме.png"/>
                    <pic:cNvPicPr/>
                  </pic:nvPicPr>
                  <pic:blipFill>
                    <a:blip r:embed="rId11"/>
                    <a:stretch>
                      <a:fillRect/>
                    </a:stretch>
                  </pic:blipFill>
                  <pic:spPr>
                    <a:xfrm>
                      <a:off x="0" y="0"/>
                      <a:ext cx="1645920" cy="1097280"/>
                    </a:xfrm>
                    <a:prstGeom prst="rect"/>
                  </pic:spPr>
                </pic:pic>
              </a:graphicData>
            </a:graphic>
          </wp:inline>
        </w:drawing>
      </w:r>
    </w:p>
    <w:p>
      <w:pPr>
        <w:jc w:val="center"/>
      </w:pPr>
      <w:r>
        <w:rPr>
          <w:b w:val="0"/>
          <w:sz w:val="20"/>
        </w:rPr>
        <w:t>СПЕЦЗАЩИТА   ЭКВИЛИБРИУМ   ИНМОРТРАНС</w:t>
      </w:r>
    </w:p>
    <w:p>
      <w:pPr>
        <w:pStyle w:val="Title"/>
        <w:jc w:val="center"/>
      </w:pPr>
      <w:r>
        <w:rPr>
          <w:b w:val="0"/>
        </w:rPr>
        <w:t>Судоходство</w:t>
        <w:br/>
        <w:t>Нового Уклада</w:t>
      </w:r>
    </w:p>
    <w:p>
      <w:pPr>
        <w:pStyle w:val="Subtitle"/>
        <w:jc w:val="center"/>
      </w:pPr>
      <w:r>
        <w:rPr>
          <w:b w:val="0"/>
        </w:rPr>
        <w:t>Концепция совместной программы</w:t>
        <w:br/>
        <w:t>и запуска первого пилотного проекта</w:t>
      </w:r>
    </w:p>
    <w:p>
      <w:pPr>
        <w:jc w:val="center"/>
      </w:pPr>
      <w:r>
        <w:rPr>
          <w:b w:val="0"/>
        </w:rPr>
      </w:r>
      <w:r>
        <w:drawing>
          <wp:inline xmlns:a="http://schemas.openxmlformats.org/drawingml/2006/main" xmlns:pic="http://schemas.openxmlformats.org/drawingml/2006/picture">
            <wp:extent cx="6364224" cy="3845052"/>
            <wp:docPr id="2" name="Picture 2" descr="Концептуальный образ пассажирского судна и береговой инфраструктуры"/>
            <wp:cNvGraphicFramePr>
              <a:graphicFrameLocks noChangeAspect="1"/>
            </wp:cNvGraphicFramePr>
            <a:graphic>
              <a:graphicData uri="http://schemas.openxmlformats.org/drawingml/2006/picture">
                <pic:pic>
                  <pic:nvPicPr>
                    <pic:cNvPr id="0" name="exec-26dc243a-63ee-4ccb-873a-edc95152f806.png"/>
                    <pic:cNvPicPr/>
                  </pic:nvPicPr>
                  <pic:blipFill>
                    <a:blip r:embed="rId12"/>
                    <a:srcRect t="47000" b="19000"/>
                    <a:stretch>
                      <a:fillRect/>
                    </a:stretch>
                  </pic:blipFill>
                  <pic:spPr>
                    <a:xfrm>
                      <a:off x="0" y="0"/>
                      <a:ext cx="6364224" cy="3845052"/>
                    </a:xfrm>
                    <a:prstGeom prst="rect"/>
                  </pic:spPr>
                </pic:pic>
              </a:graphicData>
            </a:graphic>
          </wp:inline>
        </w:drawing>
      </w:r>
    </w:p>
    <w:p>
      <w:pPr>
        <w:spacing w:after="120"/>
        <w:jc w:val="center"/>
      </w:pPr>
      <w:r>
        <w:rPr>
          <w:b w:val="0"/>
          <w:sz w:val="18"/>
        </w:rPr>
        <w:t>Концептуальный образ судна и порта</w:t>
      </w:r>
    </w:p>
    <w:p>
      <w:pPr>
        <w:jc w:val="center"/>
      </w:pPr>
      <w:r>
        <w:rPr>
          <w:b w:val="0"/>
        </w:rPr>
        <w:t>Предлагаем начать с одного объекта, измерить исходное состояние и за 90 дней подготовить обоснованное решение о следующем этапе.</w:t>
      </w:r>
    </w:p>
    <w:p>
      <w:pPr>
        <w:jc w:val="center"/>
      </w:pPr>
      <w:r>
        <w:rPr>
          <w:b w:val="0"/>
        </w:rPr>
        <w:t>26 сентября 2026 года</w:t>
      </w:r>
    </w:p>
    <w:p>
      <w:r>
        <w:br w:type="page"/>
      </w:r>
    </w:p>
    <w:p>
      <w:pPr>
        <w:pStyle w:val="Heading1"/>
      </w:pPr>
      <w:r>
        <w:t>1 Решение о начале программы</w:t>
      </w:r>
    </w:p>
    <w:p>
      <w:r>
        <w:rPr>
          <w:b w:val="0"/>
        </w:rPr>
        <w:t>Предлагаем объединить отраслевую организацию ИНМОРТРАНС, кооперацию СПЕЦЗАЩИТА и систему данных ЭКВИЛИБРИУМ вокруг одного проверяемого пилота. На первом этапе участникам нужно выбрать объект, закрепить доступ к данным и назначить ответственного за приемку результата.</w:t>
      </w:r>
    </w:p>
    <w:p>
      <w:r>
        <w:rPr>
          <w:b w:val="0"/>
        </w:rPr>
        <w:t>Программа охватывает судостроение, бункеровку, грузопассажирские перевозки и туризм. Общая производственная цепочка связывает материал и судовой узел с судном, портом, маршрутом и последующим обслуживанием. Результат каждого звена должен передаваться следующему в виде паспорта, измерения или согласованного решения.</w:t>
      </w:r>
    </w:p>
    <w:p>
      <w:pPr>
        <w:pStyle w:val="Heading2"/>
      </w:pPr>
      <w:r>
        <w:t>Что предлагаем согласовать</w:t>
      </w:r>
    </w:p>
    <w:p>
      <w:pPr>
        <w:ind w:left="230" w:hanging="187"/>
      </w:pPr>
      <w:r>
        <w:rPr>
          <w:b w:val="0"/>
        </w:rPr>
        <w:t>• Один приоритетный пилот из трех вариантов: ресурс судового узла, данные одного маршрута либо береговой водный и ресурсный баланс.</w:t>
      </w:r>
    </w:p>
    <w:p>
      <w:pPr>
        <w:ind w:left="230" w:hanging="187"/>
      </w:pPr>
      <w:r>
        <w:rPr>
          <w:b w:val="0"/>
        </w:rPr>
        <w:t>• Руководителя пилота, владельца объекта, поставщиков данных и принимающую сторону с документированными полномочиями.</w:t>
      </w:r>
    </w:p>
    <w:p>
      <w:pPr>
        <w:ind w:left="230" w:hanging="187"/>
      </w:pPr>
      <w:r>
        <w:rPr>
          <w:b w:val="0"/>
        </w:rPr>
        <w:t>• Программу работ на 90 дней с контрольными решениями на 15, 30, 60 и 90 день.</w:t>
      </w:r>
    </w:p>
    <w:p>
      <w:pPr>
        <w:ind w:left="230" w:hanging="187"/>
      </w:pPr>
      <w:r>
        <w:rPr>
          <w:b w:val="0"/>
        </w:rPr>
        <w:t>• Порядок учета затрат и критерии результата до начала испытаний или изменения режима эксплуатации.</w:t>
      </w:r>
    </w:p>
    <w:p>
      <w:pPr>
        <w:pStyle w:val="Heading2"/>
      </w:pPr>
      <w:r>
        <w:t>Ожидаемый результат первого этапа</w:t>
      </w:r>
    </w:p>
    <w:p>
      <w:r>
        <w:rPr>
          <w:b w:val="0"/>
        </w:rPr>
        <w:t>К завершению пилота участники получают паспорт объекта, исходную базу измерений, согласованный расчет эффекта и ограничений, реестр рисков и проект следующего этапа. Решение о продолжении опирается на качество данных и техническую осуществимость. Финансирование внедрения рассматривается отдельно после подготовки сметы и подтверждения условий эксплуатации.</w:t>
      </w:r>
    </w:p>
    <w:p>
      <w:pPr>
        <w:pStyle w:val="Heading2"/>
      </w:pPr>
      <w:r>
        <w:t>Статус предложений</w:t>
      </w:r>
    </w:p>
    <w:p>
      <w:r>
        <w:rPr>
          <w:b w:val="0"/>
        </w:rPr>
        <w:t>Роли, показатели и сроки в этой концепции предлагаются для согласования. Участие внешних организаций, права на активы, договоры и финансовые обязательства оформляются отдельными решениями. Для каждого объекта следует определить применимые требования и необходимые согласования до практических работ.</w:t>
      </w:r>
    </w:p>
    <w:tbl>
      <w:tblPr>
        <w:tblW w:type="auto" w:w="0"/>
        <w:jc w:val="center"/>
        <w:tblLayout w:type="fixed"/>
        <w:tblLook w:firstColumn="1" w:firstRow="1" w:lastColumn="0" w:lastRow="0" w:noHBand="0" w:noVBand="1" w:val="04A0"/>
      </w:tblPr>
      <w:tblGrid>
        <w:gridCol w:w="1944"/>
        <w:gridCol w:w="8078"/>
      </w:tblGrid>
      <w:tr>
        <w:trPr>
          <w:cantSplit/>
          <w:tblHeader/>
        </w:trPr>
        <w:tc>
          <w:tcPr>
            <w:tcW w:type="dxa" w:w="19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Граница этапа</w:t>
            </w:r>
          </w:p>
        </w:tc>
        <w:tc>
          <w:tcPr>
            <w:tcW w:type="dxa" w:w="807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Что входит</w:t>
            </w:r>
          </w:p>
        </w:tc>
      </w:tr>
      <w:tr>
        <w:trPr>
          <w:cantSplit/>
        </w:trPr>
        <w:tc>
          <w:tcPr>
            <w:tcW w:type="dxa" w:w="19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Объект</w:t>
            </w:r>
          </w:p>
        </w:tc>
        <w:tc>
          <w:tcPr>
            <w:tcW w:type="dxa" w:w="807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Одно судно, узел, маршрут или береговой участок с определенным владельцем</w:t>
            </w:r>
          </w:p>
        </w:tc>
      </w:tr>
      <w:tr>
        <w:trPr>
          <w:cantSplit/>
        </w:trPr>
        <w:tc>
          <w:tcPr>
            <w:tcW w:type="dxa" w:w="19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Работы</w:t>
            </w:r>
          </w:p>
        </w:tc>
        <w:tc>
          <w:tcPr>
            <w:tcW w:type="dxa" w:w="807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Обследование, сбор данных, анализ и ограниченная проверка по утвержденной программе</w:t>
            </w:r>
          </w:p>
        </w:tc>
      </w:tr>
      <w:tr>
        <w:trPr>
          <w:cantSplit/>
        </w:trPr>
        <w:tc>
          <w:tcPr>
            <w:tcW w:type="dxa" w:w="19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Выход</w:t>
            </w:r>
          </w:p>
        </w:tc>
        <w:tc>
          <w:tcPr>
            <w:tcW w:type="dxa" w:w="807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Досье для решения о проектировании, доработке или остановке инициативы</w:t>
            </w:r>
          </w:p>
        </w:tc>
      </w:tr>
    </w:tbl>
    <w:p>
      <w:pPr>
        <w:spacing w:after="40"/>
      </w:pPr>
      <w:r>
        <w:rPr>
          <w:b w:val="0"/>
        </w:rPr>
      </w:r>
    </w:p>
    <w:p>
      <w:r>
        <w:br w:type="page"/>
      </w:r>
    </w:p>
    <w:p>
      <w:pPr>
        <w:pStyle w:val="Heading1"/>
      </w:pPr>
      <w:r>
        <w:t>2 Участники и ответственность</w:t>
      </w:r>
    </w:p>
    <w:p>
      <w:r>
        <w:rPr>
          <w:b w:val="0"/>
        </w:rPr>
        <w:t>Управление строится вокруг владельца конкретного объекта и ответственного за безопасность его эксплуатации. Отраслевой организатор собирает задачу и участников; исполнитель отвечает за свою работу; владелец данных подтверждает источник; принимающая сторона утверждает результат. Эти функции нужно указать в паспорте пилота поименно.</w:t>
      </w:r>
    </w:p>
    <w:tbl>
      <w:tblPr>
        <w:tblW w:type="auto" w:w="0"/>
        <w:jc w:val="center"/>
        <w:tblLayout w:type="fixed"/>
        <w:tblLook w:firstColumn="1" w:firstRow="1" w:lastColumn="0" w:lastRow="0" w:noHBand="0" w:noVBand="1" w:val="04A0"/>
      </w:tblPr>
      <w:tblGrid>
        <w:gridCol w:w="1800"/>
        <w:gridCol w:w="5155"/>
        <w:gridCol w:w="3067"/>
      </w:tblGrid>
      <w:tr>
        <w:trPr>
          <w:cantSplit/>
          <w:tblHeader/>
        </w:trPr>
        <w:tc>
          <w:tcPr>
            <w:tcW w:type="dxa" w:w="180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Участник</w:t>
            </w:r>
          </w:p>
        </w:tc>
        <w:tc>
          <w:tcPr>
            <w:tcW w:type="dxa" w:w="5155"/>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Предлагаемая функция</w:t>
            </w:r>
          </w:p>
        </w:tc>
        <w:tc>
          <w:tcPr>
            <w:tcW w:type="dxa" w:w="3067"/>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Документ результата</w:t>
            </w:r>
          </w:p>
        </w:tc>
      </w:tr>
      <w:tr>
        <w:trPr>
          <w:cantSplit/>
        </w:trPr>
        <w:tc>
          <w:tcPr>
            <w:tcW w:type="dxa" w:w="180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ИНМОРТРАНС</w:t>
            </w:r>
          </w:p>
        </w:tc>
        <w:tc>
          <w:tcPr>
            <w:tcW w:type="dxa" w:w="5155"/>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Организует отраслевую задачу, согласует потребность флота и портов, собирает проектную кооперацию</w:t>
            </w:r>
          </w:p>
        </w:tc>
        <w:tc>
          <w:tcPr>
            <w:tcW w:type="dxa" w:w="3067"/>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Задание на пилот и перечень участников</w:t>
            </w:r>
          </w:p>
        </w:tc>
      </w:tr>
      <w:tr>
        <w:trPr>
          <w:cantSplit/>
        </w:trPr>
        <w:tc>
          <w:tcPr>
            <w:tcW w:type="dxa" w:w="180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СПЕЦЗАЩИТА</w:t>
            </w:r>
          </w:p>
        </w:tc>
        <w:tc>
          <w:tcPr>
            <w:tcW w:type="dxa" w:w="5155"/>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Координирует исполнение и кооперацию в пределах подтвержденных полномочий</w:t>
            </w:r>
          </w:p>
        </w:tc>
        <w:tc>
          <w:tcPr>
            <w:tcW w:type="dxa" w:w="3067"/>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План работ, договорные задания, акты</w:t>
            </w:r>
          </w:p>
        </w:tc>
      </w:tr>
      <w:tr>
        <w:trPr>
          <w:cantSplit/>
        </w:trPr>
        <w:tc>
          <w:tcPr>
            <w:tcW w:type="dxa" w:w="180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ЭКВИЛИБРИУМ</w:t>
            </w:r>
          </w:p>
        </w:tc>
        <w:tc>
          <w:tcPr>
            <w:tcW w:type="dxa" w:w="5155"/>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Обеспечивает реестр объектов, данных, протоколов и версий решений</w:t>
            </w:r>
          </w:p>
        </w:tc>
        <w:tc>
          <w:tcPr>
            <w:tcW w:type="dxa" w:w="3067"/>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Паспорт, журнал изменений, досье результата</w:t>
            </w:r>
          </w:p>
        </w:tc>
      </w:tr>
      <w:tr>
        <w:trPr>
          <w:cantSplit/>
        </w:trPr>
        <w:tc>
          <w:tcPr>
            <w:tcW w:type="dxa" w:w="180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Владелец объекта</w:t>
            </w:r>
          </w:p>
        </w:tc>
        <w:tc>
          <w:tcPr>
            <w:tcW w:type="dxa" w:w="5155"/>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Предоставляет доступ, определяет допустимые режимы и назначает ответственное лицо</w:t>
            </w:r>
          </w:p>
        </w:tc>
        <w:tc>
          <w:tcPr>
            <w:tcW w:type="dxa" w:w="3067"/>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Согласие, эксплуатационные ограничения</w:t>
            </w:r>
          </w:p>
        </w:tc>
      </w:tr>
      <w:tr>
        <w:trPr>
          <w:cantSplit/>
        </w:trPr>
        <w:tc>
          <w:tcPr>
            <w:tcW w:type="dxa" w:w="180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Научный или испытательный исполнитель</w:t>
            </w:r>
          </w:p>
        </w:tc>
        <w:tc>
          <w:tcPr>
            <w:tcW w:type="dxa" w:w="5155"/>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Определяет методику и оценивает пригодность данных для вывода</w:t>
            </w:r>
          </w:p>
        </w:tc>
        <w:tc>
          <w:tcPr>
            <w:tcW w:type="dxa" w:w="3067"/>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Программа испытаний и протокол</w:t>
            </w:r>
          </w:p>
        </w:tc>
      </w:tr>
      <w:tr>
        <w:trPr>
          <w:cantSplit/>
        </w:trPr>
        <w:tc>
          <w:tcPr>
            <w:tcW w:type="dxa" w:w="180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Принимающая сторона</w:t>
            </w:r>
          </w:p>
        </w:tc>
        <w:tc>
          <w:tcPr>
            <w:tcW w:type="dxa" w:w="5155"/>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Проверяет комплектность и согласованные критерии</w:t>
            </w:r>
          </w:p>
        </w:tc>
        <w:tc>
          <w:tcPr>
            <w:tcW w:type="dxa" w:w="3067"/>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Заключение и решение о следующем этапе</w:t>
            </w:r>
          </w:p>
        </w:tc>
      </w:tr>
    </w:tbl>
    <w:p>
      <w:pPr>
        <w:spacing w:after="40"/>
      </w:pPr>
      <w:r>
        <w:rPr>
          <w:b w:val="0"/>
        </w:rPr>
      </w:r>
    </w:p>
    <w:p>
      <w:pPr>
        <w:pStyle w:val="Heading2"/>
      </w:pPr>
      <w:r>
        <w:t>Как принимаются решения</w:t>
      </w:r>
    </w:p>
    <w:p>
      <w:r>
        <w:rPr>
          <w:b w:val="0"/>
        </w:rPr>
        <w:t>Руководитель пилота ведет единый журнал поручений. Техническое решение сопровождается исходными данными, версией расчета и указанием лица, которое его утвердило. Вопросы безопасности и допустимости испытаний рассматривает уполномоченный специалист владельца объекта. Цифровая рекомендация сама по себе не изменяет режим судна или оборудования.</w:t>
      </w:r>
    </w:p>
    <w:p>
      <w:pPr>
        <w:pStyle w:val="Heading2"/>
      </w:pPr>
      <w:r>
        <w:t>Как приглашать внешних участников</w:t>
      </w:r>
    </w:p>
    <w:p>
      <w:r>
        <w:rPr>
          <w:b w:val="0"/>
        </w:rPr>
        <w:t>Научные центры, судостроительные организации и финансовые институты можно приглашать под конкретную задачу. В обращении указываются объект, требуемая компетенция, объем работ и ожидаемый документ. Название организации включается в состав исполнителей только после подтверждения участия; до этого она указывается как потенциальный адресат предложения.</w:t>
      </w:r>
    </w:p>
    <w:p>
      <w:r>
        <w:br w:type="page"/>
      </w:r>
    </w:p>
    <w:p>
      <w:pPr>
        <w:pStyle w:val="Heading1"/>
      </w:pPr>
      <w:r>
        <w:t>3 Четыре направления работы</w:t>
      </w:r>
    </w:p>
    <w:p>
      <w:r>
        <w:rPr>
          <w:b w:val="0"/>
        </w:rPr>
        <w:t>Развитие каждого направления начинается с эксплуатационной потребности. Для судостроения это надежность и обслуживаемость; для бункеровки — качество и прослеживаемость топлива; для перевозок — устойчивость рейсов; для туризма — безопасный и удобный пассажирский сервис. Общие данные позволяют сопоставлять варианты без потери связи с физическим объектом.</w:t>
      </w:r>
    </w:p>
    <w:tbl>
      <w:tblPr>
        <w:tblW w:type="auto" w:w="0"/>
        <w:jc w:val="center"/>
        <w:tblLayout w:type="fixed"/>
        <w:tblLook w:firstColumn="1" w:firstRow="1" w:lastColumn="0" w:lastRow="0" w:noHBand="0" w:noVBand="1" w:val="04A0"/>
      </w:tblPr>
      <w:tblGrid>
        <w:gridCol w:w="2448"/>
        <w:gridCol w:w="4061"/>
        <w:gridCol w:w="3514"/>
      </w:tblGrid>
      <w:tr>
        <w:trPr>
          <w:cantSplit/>
          <w:tblHeader/>
        </w:trPr>
        <w:tc>
          <w:tcPr>
            <w:tcW w:type="dxa" w:w="244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Направление</w:t>
            </w:r>
          </w:p>
        </w:tc>
        <w:tc>
          <w:tcPr>
            <w:tcW w:type="dxa" w:w="4061"/>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Первая задача</w:t>
            </w:r>
          </w:p>
        </w:tc>
        <w:tc>
          <w:tcPr>
            <w:tcW w:type="dxa" w:w="351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Проверяемый выход</w:t>
            </w:r>
          </w:p>
        </w:tc>
      </w:tr>
      <w:tr>
        <w:trPr>
          <w:cantSplit/>
        </w:trPr>
        <w:tc>
          <w:tcPr>
            <w:tcW w:type="dxa" w:w="244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Судостроение и ремонт</w:t>
            </w:r>
          </w:p>
        </w:tc>
        <w:tc>
          <w:tcPr>
            <w:tcW w:type="dxa" w:w="4061"/>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Выбрать узел с понятным режимом нагружения, отказами или затратами на обслуживание</w:t>
            </w:r>
          </w:p>
        </w:tc>
        <w:tc>
          <w:tcPr>
            <w:tcW w:type="dxa" w:w="351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Паспорт узла, методика оценки ресурса, программа проверок</w:t>
            </w:r>
          </w:p>
        </w:tc>
      </w:tr>
      <w:tr>
        <w:trPr>
          <w:cantSplit/>
        </w:trPr>
        <w:tc>
          <w:tcPr>
            <w:tcW w:type="dxa" w:w="244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Бункеровка</w:t>
            </w:r>
          </w:p>
        </w:tc>
        <w:tc>
          <w:tcPr>
            <w:tcW w:type="dxa" w:w="4061"/>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Описать путь партии топлива от поставщика до судового учета и точки отбора проб</w:t>
            </w:r>
          </w:p>
        </w:tc>
        <w:tc>
          <w:tcPr>
            <w:tcW w:type="dxa" w:w="351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Сверка количества, документы качества, журнал передачи</w:t>
            </w:r>
          </w:p>
        </w:tc>
      </w:tr>
      <w:tr>
        <w:trPr>
          <w:cantSplit/>
        </w:trPr>
        <w:tc>
          <w:tcPr>
            <w:tcW w:type="dxa" w:w="244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Грузопассажирские перевозки</w:t>
            </w:r>
          </w:p>
        </w:tc>
        <w:tc>
          <w:tcPr>
            <w:tcW w:type="dxa" w:w="4061"/>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Сопоставить план и факт одного маршрута, причины стоянок и загрузку</w:t>
            </w:r>
          </w:p>
        </w:tc>
        <w:tc>
          <w:tcPr>
            <w:tcW w:type="dxa" w:w="351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Хронология рейса, баланс времени, расчет на единицу работы</w:t>
            </w:r>
          </w:p>
        </w:tc>
      </w:tr>
      <w:tr>
        <w:trPr>
          <w:cantSplit/>
        </w:trPr>
        <w:tc>
          <w:tcPr>
            <w:tcW w:type="dxa" w:w="244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Туризм</w:t>
            </w:r>
          </w:p>
        </w:tc>
        <w:tc>
          <w:tcPr>
            <w:tcW w:type="dxa" w:w="4061"/>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Согласовать маршрут, портовые окна, посадку, обслуживание и сезонность спроса</w:t>
            </w:r>
          </w:p>
        </w:tc>
        <w:tc>
          <w:tcPr>
            <w:tcW w:type="dxa" w:w="351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Паспорт рейса, схема сервиса, условия доступности</w:t>
            </w:r>
          </w:p>
        </w:tc>
      </w:tr>
    </w:tbl>
    <w:p>
      <w:pPr>
        <w:spacing w:after="40"/>
      </w:pPr>
      <w:r>
        <w:rPr>
          <w:b w:val="0"/>
        </w:rPr>
      </w:r>
    </w:p>
    <w:p>
      <w:pPr>
        <w:pStyle w:val="Heading2"/>
      </w:pPr>
      <w:r>
        <w:t>Производственная цепочка</w:t>
      </w:r>
    </w:p>
    <w:p>
      <w:r>
        <w:rPr>
          <w:b w:val="0"/>
        </w:rPr>
        <w:t>Материал характеризуется составом и результатами испытаний. Узел получает требования к ресурсу, ремонту и совместимости. Судно связывает эти требования с реальными нагрузками и режимами. Порт задает условия обслуживания и подключения. Маршрут показывает результат в работе. Сервис возвращает сведения о дефектах и затратах в проектирование.</w:t>
      </w:r>
    </w:p>
    <w:p>
      <w:pPr>
        <w:pStyle w:val="Heading2"/>
      </w:pPr>
      <w:r>
        <w:t>Практическая последовательность</w:t>
      </w:r>
    </w:p>
    <w:p>
      <w:r>
        <w:rPr>
          <w:b w:val="0"/>
        </w:rPr>
        <w:t>Сначала следует выбрать проблему и измеримую границу проекта. Затем собрать историю эксплуатации, установить методику сравнения и только после этого оценивать технические решения. Например, сравнение покрытия корпуса требует учитывать состояние поверхности, загрузку, скорость, погоду и период между обследованиями. Эффект нельзя приписывать одному изменению без проверки остальных факторов.</w:t>
      </w:r>
    </w:p>
    <w:p>
      <w:r>
        <w:rPr>
          <w:b w:val="0"/>
        </w:rPr>
        <w:t>Проекты новых судов, модернизации причалов и расширения маршрутов могут быть последующими этапами. Их состав определяется итогами пилота, а требования к безопасности, финансированию и инфраструктуре рассматриваются для каждого проекта отдельно.</w:t>
      </w:r>
    </w:p>
    <w:p>
      <w:r>
        <w:br w:type="page"/>
      </w:r>
    </w:p>
    <w:p>
      <w:pPr>
        <w:pStyle w:val="Heading1"/>
      </w:pPr>
      <w:r>
        <w:t>4 Выбор первого пилота</w:t>
      </w:r>
    </w:p>
    <w:p>
      <w:r>
        <w:rPr>
          <w:b w:val="0"/>
        </w:rPr>
        <w:t>Предлагаем выбрать один ведущий пилот на 90 дней. Остальные варианты сохраняются в портфеле до появления владельца объекта, данных и ресурсов. Пилот по материалу и судовому узлу продолжает ранее предложенную логику ИНМОРТРАНС; варианты по маршруту и береговому участку расширяют ее на эксплуатационные и экологические задачи.</w:t>
      </w:r>
    </w:p>
    <w:tbl>
      <w:tblPr>
        <w:tblW w:type="auto" w:w="0"/>
        <w:jc w:val="center"/>
        <w:tblLayout w:type="fixed"/>
        <w:tblLook w:firstColumn="1" w:firstRow="1" w:lastColumn="0" w:lastRow="0" w:noHBand="0" w:noVBand="1" w:val="04A0"/>
      </w:tblPr>
      <w:tblGrid>
        <w:gridCol w:w="1944"/>
        <w:gridCol w:w="4666"/>
        <w:gridCol w:w="3413"/>
      </w:tblGrid>
      <w:tr>
        <w:trPr>
          <w:cantSplit/>
          <w:tblHeader/>
        </w:trPr>
        <w:tc>
          <w:tcPr>
            <w:tcW w:type="dxa" w:w="19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Вариант</w:t>
            </w:r>
          </w:p>
        </w:tc>
        <w:tc>
          <w:tcPr>
            <w:tcW w:type="dxa" w:w="4666"/>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Объект и граница</w:t>
            </w:r>
          </w:p>
        </w:tc>
        <w:tc>
          <w:tcPr>
            <w:tcW w:type="dxa" w:w="3413"/>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Итог для решения</w:t>
            </w:r>
          </w:p>
        </w:tc>
      </w:tr>
      <w:tr>
        <w:trPr>
          <w:cantSplit/>
        </w:trPr>
        <w:tc>
          <w:tcPr>
            <w:tcW w:type="dxa" w:w="19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А  Ресурс узла</w:t>
            </w:r>
          </w:p>
        </w:tc>
        <w:tc>
          <w:tcPr>
            <w:tcW w:type="dxa" w:w="4666"/>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Один материал, покрытие или узел. Известны назначение, история, режимы и доступность образцов</w:t>
            </w:r>
          </w:p>
        </w:tc>
        <w:tc>
          <w:tcPr>
            <w:tcW w:type="dxa" w:w="3413"/>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Пригодность методики, оценка состояния, программа дальнейших испытаний</w:t>
            </w:r>
          </w:p>
        </w:tc>
      </w:tr>
      <w:tr>
        <w:trPr>
          <w:cantSplit/>
        </w:trPr>
        <w:tc>
          <w:tcPr>
            <w:tcW w:type="dxa" w:w="19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Б  Данные маршрута</w:t>
            </w:r>
          </w:p>
        </w:tc>
        <w:tc>
          <w:tcPr>
            <w:tcW w:type="dxa" w:w="4666"/>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Один маршрут и портовый заход. Учет времени, загрузки, топлива и причин отклонений</w:t>
            </w:r>
          </w:p>
        </w:tc>
        <w:tc>
          <w:tcPr>
            <w:tcW w:type="dxa" w:w="3413"/>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Исходная картина рейса, варианты сокращения потерь времени, требования к данным</w:t>
            </w:r>
          </w:p>
        </w:tc>
      </w:tr>
      <w:tr>
        <w:trPr>
          <w:cantSplit/>
        </w:trPr>
        <w:tc>
          <w:tcPr>
            <w:tcW w:type="dxa" w:w="19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В  Береговой баланс</w:t>
            </w:r>
          </w:p>
        </w:tc>
        <w:tc>
          <w:tcPr>
            <w:tcW w:type="dxa" w:w="4666"/>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Один участок порта или терминала. Вода, отходы и энергопотребление в заданной границе</w:t>
            </w:r>
          </w:p>
        </w:tc>
        <w:tc>
          <w:tcPr>
            <w:tcW w:type="dxa" w:w="3413"/>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Баланс потоков, перечень точек измерения, проверяемая программа улучшений</w:t>
            </w:r>
          </w:p>
        </w:tc>
      </w:tr>
    </w:tbl>
    <w:p>
      <w:pPr>
        <w:spacing w:after="40"/>
      </w:pPr>
      <w:r>
        <w:rPr>
          <w:b w:val="0"/>
        </w:rPr>
      </w:r>
    </w:p>
    <w:p>
      <w:pPr>
        <w:pStyle w:val="Heading2"/>
      </w:pPr>
      <w:r>
        <w:t>Условия допуска к пилоту</w:t>
      </w:r>
    </w:p>
    <w:p>
      <w:pPr>
        <w:ind w:left="230" w:hanging="187"/>
      </w:pPr>
      <w:r>
        <w:rPr>
          <w:b w:val="0"/>
        </w:rPr>
        <w:t>• Владелец объекта подтверждает доступ и назначает ответственное лицо.</w:t>
      </w:r>
    </w:p>
    <w:p>
      <w:pPr>
        <w:ind w:left="230" w:hanging="187"/>
      </w:pPr>
      <w:r>
        <w:rPr>
          <w:b w:val="0"/>
        </w:rPr>
        <w:t>• Исходная задача имеет измеримый результат и может быть исследована в пределах 90 дней.</w:t>
      </w:r>
    </w:p>
    <w:p>
      <w:pPr>
        <w:ind w:left="230" w:hanging="187"/>
      </w:pPr>
      <w:r>
        <w:rPr>
          <w:b w:val="0"/>
        </w:rPr>
        <w:t>• Источники данных доступны, а пропуски и ограничения можно описать до начала сравнения.</w:t>
      </w:r>
    </w:p>
    <w:p>
      <w:pPr>
        <w:ind w:left="230" w:hanging="187"/>
      </w:pPr>
      <w:r>
        <w:rPr>
          <w:b w:val="0"/>
        </w:rPr>
        <w:t>• Работы совместимы с безопасностью эксплуатации, расписанием и согласованным бюджетом.</w:t>
      </w:r>
    </w:p>
    <w:p>
      <w:pPr>
        <w:pStyle w:val="Heading2"/>
      </w:pPr>
      <w:r>
        <w:t>Как выбрать вариант</w:t>
      </w:r>
    </w:p>
    <w:p>
      <w:r>
        <w:rPr>
          <w:b w:val="0"/>
        </w:rPr>
        <w:t>Рекомендуем оценить каждый вариант по четырем признакам: доступность объекта, пригодность данных, срок получения результата и объем необходимых согласований. Выбирается вариант, по которому подтверждены все четыре условия. Сочетание нескольких пилотов допустимо только при сохранении отдельных границ, ответственных и смет.</w:t>
      </w:r>
    </w:p>
    <w:p>
      <w:pPr>
        <w:pStyle w:val="Heading2"/>
      </w:pPr>
      <w:r>
        <w:t>Когда результатом становится остановка</w:t>
      </w:r>
    </w:p>
    <w:p>
      <w:r>
        <w:rPr>
          <w:b w:val="0"/>
        </w:rPr>
        <w:t>Если измерения не позволяют отделить эффект от сезонности, режимов или качества исходных данных, приемлемым результатом является уточненная программа исследования. Отказ от внедрения технически неподтвержденного решения также фиксируется как завершенное управленческое решение с основаниями.</w:t>
      </w:r>
    </w:p>
    <w:p>
      <w:r>
        <w:br w:type="page"/>
      </w:r>
    </w:p>
    <w:p>
      <w:pPr>
        <w:pStyle w:val="Heading1"/>
      </w:pPr>
      <w:r>
        <w:t>5 Данные и цифровая модель</w:t>
      </w:r>
    </w:p>
    <w:p>
      <w:r>
        <w:rPr>
          <w:b w:val="0"/>
        </w:rPr>
        <w:t>ЭКВИЛИБРИУМ предлагается использовать как систему связи между объектом, первичным свидетельством и решением. На первом этапе достаточно управляемого реестра и журнала событий. Расчетную модель подключают для конкретного вопроса после оценки качества данных и проверки на наблюдениях.</w:t>
      </w:r>
    </w:p>
    <w:tbl>
      <w:tblPr>
        <w:tblW w:type="auto" w:w="0"/>
        <w:jc w:val="center"/>
        <w:tblLayout w:type="fixed"/>
        <w:tblLook w:firstColumn="1" w:firstRow="1" w:lastColumn="0" w:lastRow="0" w:noHBand="0" w:noVBand="1" w:val="04A0"/>
      </w:tblPr>
      <w:tblGrid>
        <w:gridCol w:w="1728"/>
        <w:gridCol w:w="4608"/>
        <w:gridCol w:w="3686"/>
      </w:tblGrid>
      <w:tr>
        <w:trPr>
          <w:cantSplit/>
          <w:tblHeader/>
        </w:trPr>
        <w:tc>
          <w:tcPr>
            <w:tcW w:type="dxa" w:w="172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Слой</w:t>
            </w:r>
          </w:p>
        </w:tc>
        <w:tc>
          <w:tcPr>
            <w:tcW w:type="dxa" w:w="460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Что хранится</w:t>
            </w:r>
          </w:p>
        </w:tc>
        <w:tc>
          <w:tcPr>
            <w:tcW w:type="dxa" w:w="3686"/>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Правило качества</w:t>
            </w:r>
          </w:p>
        </w:tc>
      </w:tr>
      <w:tr>
        <w:trPr>
          <w:cantSplit/>
        </w:trPr>
        <w:tc>
          <w:tcPr>
            <w:tcW w:type="dxa" w:w="172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Физические события</w:t>
            </w:r>
          </w:p>
        </w:tc>
        <w:tc>
          <w:tcPr>
            <w:tcW w:type="dxa" w:w="460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Рейс, швартовка, расход, проба, дефект, ремонт, передача отходов</w:t>
            </w:r>
          </w:p>
        </w:tc>
        <w:tc>
          <w:tcPr>
            <w:tcW w:type="dxa" w:w="3686"/>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Время, место, объект и источник обязательны</w:t>
            </w:r>
          </w:p>
        </w:tc>
      </w:tr>
      <w:tr>
        <w:trPr>
          <w:cantSplit/>
        </w:trPr>
        <w:tc>
          <w:tcPr>
            <w:tcW w:type="dxa" w:w="172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Паспорта</w:t>
            </w:r>
          </w:p>
        </w:tc>
        <w:tc>
          <w:tcPr>
            <w:tcW w:type="dxa" w:w="460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Идентификатор судна, узла, партии или точки измерения; ответственный и границы</w:t>
            </w:r>
          </w:p>
        </w:tc>
        <w:tc>
          <w:tcPr>
            <w:tcW w:type="dxa" w:w="3686"/>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Один объект имеет устойчивый идентификатор</w:t>
            </w:r>
          </w:p>
        </w:tc>
      </w:tr>
      <w:tr>
        <w:trPr>
          <w:cantSplit/>
        </w:trPr>
        <w:tc>
          <w:tcPr>
            <w:tcW w:type="dxa" w:w="172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Измерения</w:t>
            </w:r>
          </w:p>
        </w:tc>
        <w:tc>
          <w:tcPr>
            <w:tcW w:type="dxa" w:w="460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Значение, единица, методика, прибор, условия, статус проверки</w:t>
            </w:r>
          </w:p>
        </w:tc>
        <w:tc>
          <w:tcPr>
            <w:tcW w:type="dxa" w:w="3686"/>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Исходное значение сохраняется при исправлении</w:t>
            </w:r>
          </w:p>
        </w:tc>
      </w:tr>
      <w:tr>
        <w:trPr>
          <w:cantSplit/>
        </w:trPr>
        <w:tc>
          <w:tcPr>
            <w:tcW w:type="dxa" w:w="172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Модели и сценарии</w:t>
            </w:r>
          </w:p>
        </w:tc>
        <w:tc>
          <w:tcPr>
            <w:tcW w:type="dxa" w:w="460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Допущения, версия расчета, параметры и диапазон применимости</w:t>
            </w:r>
          </w:p>
        </w:tc>
        <w:tc>
          <w:tcPr>
            <w:tcW w:type="dxa" w:w="3686"/>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Проверка на данных и описание погрешности</w:t>
            </w:r>
          </w:p>
        </w:tc>
      </w:tr>
      <w:tr>
        <w:trPr>
          <w:cantSplit/>
        </w:trPr>
        <w:tc>
          <w:tcPr>
            <w:tcW w:type="dxa" w:w="172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Решения</w:t>
            </w:r>
          </w:p>
        </w:tc>
        <w:tc>
          <w:tcPr>
            <w:tcW w:type="dxa" w:w="460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Выбор варианта, основание, согласующий, срок и результат</w:t>
            </w:r>
          </w:p>
        </w:tc>
        <w:tc>
          <w:tcPr>
            <w:tcW w:type="dxa" w:w="3686"/>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Каждое решение связано с версией доказательств</w:t>
            </w:r>
          </w:p>
        </w:tc>
      </w:tr>
    </w:tbl>
    <w:p>
      <w:pPr>
        <w:spacing w:after="40"/>
      </w:pPr>
      <w:r>
        <w:rPr>
          <w:b w:val="0"/>
        </w:rPr>
      </w:r>
    </w:p>
    <w:p>
      <w:pPr>
        <w:pStyle w:val="Heading2"/>
      </w:pPr>
      <w:r>
        <w:t>Что означает цифровой двойник</w:t>
      </w:r>
    </w:p>
    <w:p>
      <w:r>
        <w:rPr>
          <w:b w:val="0"/>
        </w:rPr>
        <w:t>Цифровой двойник в этой программе — связанная с конкретным объектом модель, которую обновляют данными и используют для проверки сценариев. Подход MPA сочетает исторические и текущие данные с моделированием [4]. Для нашего пилота следует отдельно подтвердить состав модели, частоту обновления и точность; наличие реестра само по себе еще не подтверждает готовность двойника.</w:t>
      </w:r>
    </w:p>
    <w:p>
      <w:pPr>
        <w:pStyle w:val="Heading2"/>
      </w:pPr>
      <w:r>
        <w:t>Доступ и эксплуатационная безопасность</w:t>
      </w:r>
    </w:p>
    <w:p>
      <w:r>
        <w:rPr>
          <w:b w:val="0"/>
        </w:rPr>
        <w:t>Доступы назначаются по ролям, выгрузки и изменения регистрируются, резервные копии проверяются. Для пилота предпочтителен сбор данных без управляющего воздействия. Подключение к судовым или портовым системам требует согласованной схемы и разграничения информационных и технологических сетей. Ответственность за решения остается у уполномоченных людей. Морские киберриски включаются в управление безопасностью [6].</w:t>
      </w:r>
    </w:p>
    <w:p>
      <w:pPr>
        <w:pStyle w:val="Heading2"/>
      </w:pPr>
      <w:r>
        <w:t>Минимальный комплект для запуска</w:t>
      </w:r>
    </w:p>
    <w:p>
      <w:r>
        <w:rPr>
          <w:b w:val="0"/>
        </w:rPr>
        <w:t>Реестр объектов, словарь показателей, каталог источников, журнал событий, хранилище протоколов и журнал решений. Каждый набор данных получает владельца, порядок обновления и отметку о проверке. Персональные и коммерчески чувствительные сведения включаются только в необходимом объеме с установленными правами доступа.</w:t>
      </w:r>
    </w:p>
    <w:p>
      <w:r>
        <w:br w:type="page"/>
      </w:r>
    </w:p>
    <w:p>
      <w:pPr>
        <w:pStyle w:val="Heading1"/>
      </w:pPr>
      <w:r>
        <w:t>6 Вода отходы и энергоснабжение</w:t>
      </w:r>
    </w:p>
    <w:p>
      <w:r>
        <w:rPr>
          <w:b w:val="0"/>
        </w:rPr>
        <w:t>Экологическая часть начинается с границы учета и исходного состояния участка. Нужны карта точек, время и условия отбора, описание лабораторной методики и сопоставимый период наблюдений. Вывод об улучшении водной среды требует сравнения с исходным уровнем и учета внешних факторов.</w:t>
      </w:r>
    </w:p>
    <w:p>
      <w:pPr>
        <w:pStyle w:val="Heading2"/>
      </w:pPr>
      <w:r>
        <w:t>Вода и биоценозы</w:t>
      </w:r>
    </w:p>
    <w:p>
      <w:r>
        <w:rPr>
          <w:b w:val="0"/>
        </w:rPr>
        <w:t>Для пилота следует выбрать показатели, связанные с фактическим воздействием объекта. Физико-химические параметры воды, сведения об осадках, гидрологические условия и наблюдения за организмами рассматриваются совместно с профильным исполнителем. Биоценозную метку можно вести как запись о месте, времени, методике и наблюдаемом сообществе. Она становится управленческим показателем только после определения воспроизводимого способа измерения.</w:t>
      </w:r>
    </w:p>
    <w:p>
      <w:r>
        <w:rPr>
          <w:b w:val="0"/>
        </w:rPr>
        <w:t>Разовая проба описывает состояние в конкретной точке и момент времени. Она не доказывает восстановление экосистемы. В плане мониторинга необходимо заранее определить сопоставимость точек и периодов, а также достаточность данных для выбранного вывода.</w:t>
      </w:r>
    </w:p>
    <w:p>
      <w:pPr>
        <w:pStyle w:val="Heading2"/>
      </w:pPr>
      <w:r>
        <w:t>Отходы и экологические модули</w:t>
      </w:r>
    </w:p>
    <w:p>
      <w:r>
        <w:rPr>
          <w:b w:val="0"/>
        </w:rPr>
        <w:t>Береговой экологический модуль предлагается как узел учета, раздельного накопления и передачи потоков по согласованной технологии. Для каждого потока фиксируются происхождение, количество, способ измерения, место хранения, получатель и подтверждающий документ. Приемные сооружения и организация передачи отходов составляют часть морской системы обращения с судовым мусором [5]. Конкретные технологии очистки или обработки выбираются после анализа состава и объема потоков.</w:t>
      </w:r>
    </w:p>
    <w:p>
      <w:pPr>
        <w:pStyle w:val="Heading2"/>
      </w:pPr>
      <w:r>
        <w:t>Энергия судна и берега</w:t>
      </w:r>
    </w:p>
    <w:p>
      <w:r>
        <w:rPr>
          <w:b w:val="0"/>
        </w:rPr>
        <w:t>Береговое электроснабжение следует оценивать по профилю потребления судна, длительности стоянки, совместимости подключения и возможностям сети. Подготовка требует совместного планирования судна и порта [2]. Минигенерация рассматривается как обычная инженерная задача с подтвержденными характеристиками оборудования, обеспечением топливом, обслуживанием и расчетом полной стоимости.</w:t>
      </w:r>
    </w:p>
    <w:p>
      <w:r>
        <w:rPr>
          <w:b w:val="0"/>
        </w:rPr>
        <w:t>Для альтернативных видов топлива сравнивается полный жизненный цикл, включая производство, доставку и использование. Подход IMO учитывает CO₂, CH₄ и N₂O по цепочке от получения топлива до потребления на судне [3]. Выбор топлива нельзя обосновать только выбросами на борту.</w:t>
      </w:r>
    </w:p>
    <w:p>
      <w:pPr>
        <w:spacing w:after="120"/>
      </w:pPr>
      <w:r>
        <w:rPr>
          <w:b w:val="0"/>
          <w:sz w:val="18"/>
        </w:rPr>
        <w:t>Примечание к проектированию. Применимость требований к судну и береговой площадке устанавливается для их конкретных характеристик и района работы. Методики учета должны быть согласованы до расчета заявляемого эффекта.</w:t>
      </w:r>
    </w:p>
    <w:p>
      <w:r>
        <w:br w:type="page"/>
      </w:r>
    </w:p>
    <w:p>
      <w:pPr>
        <w:pStyle w:val="Heading1"/>
      </w:pPr>
      <w:r>
        <w:t>7 Показатели и правила измерения</w:t>
      </w:r>
    </w:p>
    <w:p>
      <w:r>
        <w:rPr>
          <w:b w:val="0"/>
        </w:rPr>
        <w:t>Ниже приведен проект словаря показателей. Исходные значения получают в пилоте; целевые значения утверждают после оценки базы. У каждого показателя есть единица, формула, источник и ответственный. Пропущенные измерения отмечаются отдельно и не заменяются нулем.</w:t>
      </w:r>
    </w:p>
    <w:tbl>
      <w:tblPr>
        <w:tblW w:type="auto" w:w="0"/>
        <w:jc w:val="center"/>
        <w:tblLayout w:type="fixed"/>
        <w:tblLook w:firstColumn="1" w:firstRow="1" w:lastColumn="0" w:lastRow="0" w:noHBand="0" w:noVBand="1" w:val="04A0"/>
      </w:tblPr>
      <w:tblGrid>
        <w:gridCol w:w="2880"/>
        <w:gridCol w:w="3398"/>
        <w:gridCol w:w="3744"/>
      </w:tblGrid>
      <w:tr>
        <w:trPr>
          <w:cantSplit/>
          <w:tblHeader/>
        </w:trPr>
        <w:tc>
          <w:tcPr>
            <w:tcW w:type="dxa" w:w="288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Показатель и единица</w:t>
            </w:r>
          </w:p>
        </w:tc>
        <w:tc>
          <w:tcPr>
            <w:tcW w:type="dxa" w:w="339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Расчет</w:t>
            </w:r>
          </w:p>
        </w:tc>
        <w:tc>
          <w:tcPr>
            <w:tcW w:type="dxa" w:w="37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Источник и владелец</w:t>
            </w:r>
          </w:p>
        </w:tc>
      </w:tr>
      <w:tr>
        <w:trPr>
          <w:cantSplit/>
        </w:trPr>
        <w:tc>
          <w:tcPr>
            <w:tcW w:type="dxa" w:w="288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Удельный расход</w:t>
              <w:br/>
              <w:t>кг на морскую милю</w:t>
            </w:r>
          </w:p>
        </w:tc>
        <w:tc>
          <w:tcPr>
            <w:tcW w:type="dxa" w:w="339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Топливо за рейс ÷ фактический пройденный путь</w:t>
            </w:r>
          </w:p>
        </w:tc>
        <w:tc>
          <w:tcPr>
            <w:tcW w:type="dxa" w:w="37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Судовой учет, трек</w:t>
              <w:br/>
              <w:t>Ответственный за эксплуатацию</w:t>
            </w:r>
          </w:p>
        </w:tc>
      </w:tr>
      <w:tr>
        <w:trPr>
          <w:cantSplit/>
        </w:trPr>
        <w:tc>
          <w:tcPr>
            <w:tcW w:type="dxa" w:w="288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Портовое время</w:t>
              <w:br/>
              <w:t>часы</w:t>
            </w:r>
          </w:p>
        </w:tc>
        <w:tc>
          <w:tcPr>
            <w:tcW w:type="dxa" w:w="339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Время завершения захода − время начала по согласованным событиям</w:t>
            </w:r>
          </w:p>
        </w:tc>
        <w:tc>
          <w:tcPr>
            <w:tcW w:type="dxa" w:w="37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Журнал порта и судна</w:t>
              <w:br/>
              <w:t>Координатор захода</w:t>
            </w:r>
          </w:p>
        </w:tc>
      </w:tr>
      <w:tr>
        <w:trPr>
          <w:cantSplit/>
        </w:trPr>
        <w:tc>
          <w:tcPr>
            <w:tcW w:type="dxa" w:w="288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Точность расписания</w:t>
              <w:br/>
              <w:t>проценты</w:t>
            </w:r>
          </w:p>
        </w:tc>
        <w:tc>
          <w:tcPr>
            <w:tcW w:type="dxa" w:w="339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Рейсы в согласованном допуске ÷ все учтенные рейсы × 100</w:t>
            </w:r>
          </w:p>
        </w:tc>
        <w:tc>
          <w:tcPr>
            <w:tcW w:type="dxa" w:w="37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План и факт рейсов</w:t>
              <w:br/>
              <w:t>Оператор маршрута</w:t>
            </w:r>
          </w:p>
        </w:tc>
      </w:tr>
      <w:tr>
        <w:trPr>
          <w:cantSplit/>
        </w:trPr>
        <w:tc>
          <w:tcPr>
            <w:tcW w:type="dxa" w:w="288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Использование вместимости</w:t>
              <w:br/>
              <w:t>проценты</w:t>
            </w:r>
          </w:p>
        </w:tc>
        <w:tc>
          <w:tcPr>
            <w:tcW w:type="dxa" w:w="339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Фактическая загрузка ÷ доступная вместимость × 100</w:t>
            </w:r>
          </w:p>
        </w:tc>
        <w:tc>
          <w:tcPr>
            <w:tcW w:type="dxa" w:w="37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Манифест или билетный учет</w:t>
              <w:br/>
              <w:t>Оператор перевозки</w:t>
            </w:r>
          </w:p>
        </w:tc>
      </w:tr>
      <w:tr>
        <w:trPr>
          <w:cantSplit/>
        </w:trPr>
        <w:tc>
          <w:tcPr>
            <w:tcW w:type="dxa" w:w="288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Расход воды</w:t>
              <w:br/>
              <w:t>куб м за период</w:t>
            </w:r>
          </w:p>
        </w:tc>
        <w:tc>
          <w:tcPr>
            <w:tcW w:type="dxa" w:w="339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Объем на входе − возврат в границе учета, если он измеряется</w:t>
            </w:r>
          </w:p>
        </w:tc>
        <w:tc>
          <w:tcPr>
            <w:tcW w:type="dxa" w:w="37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Счетчики и журнал</w:t>
              <w:br/>
              <w:t>Владелец участка</w:t>
            </w:r>
          </w:p>
        </w:tc>
      </w:tr>
      <w:tr>
        <w:trPr>
          <w:cantSplit/>
        </w:trPr>
        <w:tc>
          <w:tcPr>
            <w:tcW w:type="dxa" w:w="288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Передача отходов</w:t>
              <w:br/>
              <w:t>кг за период</w:t>
            </w:r>
          </w:p>
        </w:tc>
        <w:tc>
          <w:tcPr>
            <w:tcW w:type="dxa" w:w="339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Сумма подтвержденных масс по потокам и актам</w:t>
            </w:r>
          </w:p>
        </w:tc>
        <w:tc>
          <w:tcPr>
            <w:tcW w:type="dxa" w:w="37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Весы и документы передачи</w:t>
              <w:br/>
              <w:t>Ответственный за отходы</w:t>
            </w:r>
          </w:p>
        </w:tc>
      </w:tr>
      <w:tr>
        <w:trPr>
          <w:cantSplit/>
        </w:trPr>
        <w:tc>
          <w:tcPr>
            <w:tcW w:type="dxa" w:w="288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Энергия стоянки</w:t>
              <w:br/>
              <w:t>кВт·ч</w:t>
            </w:r>
          </w:p>
        </w:tc>
        <w:tc>
          <w:tcPr>
            <w:tcW w:type="dxa" w:w="339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Показание на конец − показание на начало с учетом схемы учета</w:t>
            </w:r>
          </w:p>
        </w:tc>
        <w:tc>
          <w:tcPr>
            <w:tcW w:type="dxa" w:w="37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Счетчик и журнал стоянки</w:t>
              <w:br/>
              <w:t>Энергетик участка</w:t>
            </w:r>
          </w:p>
        </w:tc>
      </w:tr>
      <w:tr>
        <w:trPr>
          <w:cantSplit/>
        </w:trPr>
        <w:tc>
          <w:tcPr>
            <w:tcW w:type="dxa" w:w="288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Полнота данных</w:t>
              <w:br/>
              <w:t>проценты</w:t>
            </w:r>
          </w:p>
        </w:tc>
        <w:tc>
          <w:tcPr>
            <w:tcW w:type="dxa" w:w="339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Проверенные обязательные записи ÷ ожидаемые записи × 100</w:t>
            </w:r>
          </w:p>
        </w:tc>
        <w:tc>
          <w:tcPr>
            <w:tcW w:type="dxa" w:w="3744"/>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Реестр и протокол проверки</w:t>
              <w:br/>
              <w:t>Владелец данных</w:t>
            </w:r>
          </w:p>
        </w:tc>
      </w:tr>
    </w:tbl>
    <w:p>
      <w:pPr>
        <w:spacing w:after="40"/>
      </w:pPr>
      <w:r>
        <w:rPr>
          <w:b w:val="0"/>
        </w:rPr>
      </w:r>
    </w:p>
    <w:p>
      <w:pPr>
        <w:pStyle w:val="Heading2"/>
      </w:pPr>
      <w:r>
        <w:t>Как сравнивать результаты</w:t>
      </w:r>
    </w:p>
    <w:p>
      <w:r>
        <w:rPr>
          <w:b w:val="0"/>
        </w:rPr>
        <w:t>Перед сравнением фиксируются загрузка, длительность рейса, скорость, состояние корпуса, погода и иные значимые условия. Для пассажирских и грузовых операций дополнительно выбирают показатель на единицу транспортной работы. Изменение средней величины без проверки сопоставимости условий не считается доказанным эффектом.</w:t>
      </w:r>
    </w:p>
    <w:p>
      <w:r>
        <w:rPr>
          <w:b w:val="0"/>
        </w:rPr>
        <w:t>Для материалов ресурс и скорость деградации определяются по отдельной утвержденной методике. EEXI и CII имеют собственные области применения и процедуры; показатели этой таблицы не заменяют предусмотренные ими расчеты [1].</w:t>
      </w:r>
    </w:p>
    <w:p>
      <w:r>
        <w:br w:type="page"/>
      </w:r>
    </w:p>
    <w:p>
      <w:pPr>
        <w:pStyle w:val="Heading1"/>
      </w:pPr>
      <w:r>
        <w:t>8 Экономическая модель пилота</w:t>
      </w:r>
    </w:p>
    <w:p>
      <w:r>
        <w:rPr>
          <w:b w:val="0"/>
        </w:rPr>
        <w:t>Экономическую оценку следует собирать из проверяемых входных данных. До выбора объекта и получения коммерческих предложений размер инвестиций, доходность и срок окупаемости не устанавливаются. Сначала учитываются затраты пилота, затем отдельно оценивается следующий этап внедрения.</w:t>
      </w:r>
    </w:p>
    <w:tbl>
      <w:tblPr>
        <w:tblW w:type="auto" w:w="0"/>
        <w:jc w:val="center"/>
        <w:tblLayout w:type="fixed"/>
        <w:tblLook w:firstColumn="1" w:firstRow="1" w:lastColumn="0" w:lastRow="0" w:noHBand="0" w:noVBand="1" w:val="04A0"/>
      </w:tblPr>
      <w:tblGrid>
        <w:gridCol w:w="1872"/>
        <w:gridCol w:w="4622"/>
        <w:gridCol w:w="3528"/>
      </w:tblGrid>
      <w:tr>
        <w:trPr>
          <w:cantSplit/>
          <w:tblHeader/>
        </w:trPr>
        <w:tc>
          <w:tcPr>
            <w:tcW w:type="dxa" w:w="187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Блок</w:t>
            </w:r>
          </w:p>
        </w:tc>
        <w:tc>
          <w:tcPr>
            <w:tcW w:type="dxa" w:w="462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Необходимые исходные данные</w:t>
            </w:r>
          </w:p>
        </w:tc>
        <w:tc>
          <w:tcPr>
            <w:tcW w:type="dxa" w:w="352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Подтверждение</w:t>
            </w:r>
          </w:p>
        </w:tc>
      </w:tr>
      <w:tr>
        <w:trPr>
          <w:cantSplit/>
        </w:trPr>
        <w:tc>
          <w:tcPr>
            <w:tcW w:type="dxa" w:w="187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Подготовка</w:t>
            </w:r>
          </w:p>
        </w:tc>
        <w:tc>
          <w:tcPr>
            <w:tcW w:type="dxa" w:w="462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Обследование, проектирование, доступ, измерения, испытания</w:t>
            </w:r>
          </w:p>
        </w:tc>
        <w:tc>
          <w:tcPr>
            <w:tcW w:type="dxa" w:w="352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Задание, смета, предложения исполнителей</w:t>
            </w:r>
          </w:p>
        </w:tc>
      </w:tr>
      <w:tr>
        <w:trPr>
          <w:cantSplit/>
        </w:trPr>
        <w:tc>
          <w:tcPr>
            <w:tcW w:type="dxa" w:w="187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Оборудование</w:t>
            </w:r>
          </w:p>
        </w:tc>
        <w:tc>
          <w:tcPr>
            <w:tcW w:type="dxa" w:w="462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Комплектность, монтаж, подключение, ввод, запасные части</w:t>
            </w:r>
          </w:p>
        </w:tc>
        <w:tc>
          <w:tcPr>
            <w:tcW w:type="dxa" w:w="352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Спецификация и коммерческие предложения</w:t>
            </w:r>
          </w:p>
        </w:tc>
      </w:tr>
      <w:tr>
        <w:trPr>
          <w:cantSplit/>
        </w:trPr>
        <w:tc>
          <w:tcPr>
            <w:tcW w:type="dxa" w:w="187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Эксплуатация</w:t>
            </w:r>
          </w:p>
        </w:tc>
        <w:tc>
          <w:tcPr>
            <w:tcW w:type="dxa" w:w="462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Топливо, энергия, труд, ремонт, связь, лаборатория, утилизация</w:t>
            </w:r>
          </w:p>
        </w:tc>
        <w:tc>
          <w:tcPr>
            <w:tcW w:type="dxa" w:w="352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Журналы, тарифы и договорные условия</w:t>
            </w:r>
          </w:p>
        </w:tc>
      </w:tr>
      <w:tr>
        <w:trPr>
          <w:cantSplit/>
        </w:trPr>
        <w:tc>
          <w:tcPr>
            <w:tcW w:type="dxa" w:w="187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Результат</w:t>
            </w:r>
          </w:p>
        </w:tc>
        <w:tc>
          <w:tcPr>
            <w:tcW w:type="dxa" w:w="462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Транспортная работа, доступность, подтвержденная экономия ресурсов</w:t>
            </w:r>
          </w:p>
        </w:tc>
        <w:tc>
          <w:tcPr>
            <w:tcW w:type="dxa" w:w="352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Сопоставимый период и методика расчета</w:t>
            </w:r>
          </w:p>
        </w:tc>
      </w:tr>
      <w:tr>
        <w:trPr>
          <w:cantSplit/>
        </w:trPr>
        <w:tc>
          <w:tcPr>
            <w:tcW w:type="dxa" w:w="187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Финансирование</w:t>
            </w:r>
          </w:p>
        </w:tc>
        <w:tc>
          <w:tcPr>
            <w:tcW w:type="dxa" w:w="462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График платежей, стоимость средств, условия и обеспечение</w:t>
            </w:r>
          </w:p>
        </w:tc>
        <w:tc>
          <w:tcPr>
            <w:tcW w:type="dxa" w:w="3528"/>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Подтвержденные предложения сторон</w:t>
            </w:r>
          </w:p>
        </w:tc>
      </w:tr>
    </w:tbl>
    <w:p>
      <w:pPr>
        <w:spacing w:after="40"/>
      </w:pPr>
      <w:r>
        <w:rPr>
          <w:b w:val="0"/>
        </w:rPr>
      </w:r>
    </w:p>
    <w:p>
      <w:pPr>
        <w:pStyle w:val="Heading2"/>
      </w:pPr>
      <w:r>
        <w:t>Расчет без двойного учета</w:t>
      </w:r>
    </w:p>
    <w:p>
      <w:r>
        <w:rPr>
          <w:b w:val="0"/>
        </w:rPr>
        <w:t>Годовой чистый эффект рассчитывается как подтвержденная экономия затрат и дополнительный маржинальный доход за вычетом новых эксплуатационных расходов. Снижение времени стоянки учитывается в денежном эффекте только при наличии понятного механизма: уменьшения платежей, роста доступности или дополнительных выполненных рейсов. Одно изменение нельзя одновременно полностью учитывать в нескольких статьях.</w:t>
      </w:r>
    </w:p>
    <w:p>
      <w:r>
        <w:rPr>
          <w:b w:val="0"/>
        </w:rPr>
        <w:t>Разовые расходы отделяются от повторяющихся. В модели указываются валюта, период цен, налоги, источник тарифа, единицы и дата подтверждения. Сценарий с наиболее благоприятными входными данными не принимается за базовый.</w:t>
      </w:r>
    </w:p>
    <w:p>
      <w:pPr>
        <w:pStyle w:val="Heading2"/>
      </w:pPr>
      <w:r>
        <w:t>Какие варианты сравнить</w:t>
      </w:r>
    </w:p>
    <w:p>
      <w:pPr>
        <w:ind w:left="230" w:hanging="187"/>
      </w:pPr>
      <w:r>
        <w:rPr>
          <w:b w:val="0"/>
        </w:rPr>
        <w:t>• Продолжение действующей практики при текущем объеме работы.</w:t>
      </w:r>
    </w:p>
    <w:p>
      <w:pPr>
        <w:ind w:left="230" w:hanging="187"/>
      </w:pPr>
      <w:r>
        <w:rPr>
          <w:b w:val="0"/>
        </w:rPr>
        <w:t>• Минимальное изменение с использованием существующей инфраструктуры.</w:t>
      </w:r>
    </w:p>
    <w:p>
      <w:pPr>
        <w:ind w:left="230" w:hanging="187"/>
      </w:pPr>
      <w:r>
        <w:rPr>
          <w:b w:val="0"/>
        </w:rPr>
        <w:t>• Предлагаемое внедрение с полным составом капитальных и эксплуатационных затрат.</w:t>
      </w:r>
    </w:p>
    <w:p>
      <w:r>
        <w:rPr>
          <w:b w:val="0"/>
        </w:rPr>
        <w:t>Для каждого варианта проверяется чувствительность к загрузке, числу рейсов, ценам ресурсов, сроку службы и простою на внедрение. Итогом пилота становится диапазон результата и перечень условий, от которых он зависит. Инвестиционное решение принимается после уточнения сметы и источников финансирования.</w:t>
      </w:r>
    </w:p>
    <w:p>
      <w:r>
        <w:br w:type="page"/>
      </w:r>
    </w:p>
    <w:p>
      <w:pPr>
        <w:pStyle w:val="Heading1"/>
      </w:pPr>
      <w:r>
        <w:t>9 Программа работ на 90 дней</w:t>
      </w:r>
    </w:p>
    <w:p>
      <w:r>
        <w:rPr>
          <w:b w:val="0"/>
        </w:rPr>
        <w:t>Отсчет начинается после согласования паспорта пилота и доступа к объекту. Переход между этапами подтверждает руководитель вместе с владельцем объекта и принимающей стороной. Если условия не выполнены, срок корректируется с указанием причины и нового решения.</w:t>
      </w:r>
    </w:p>
    <w:tbl>
      <w:tblPr>
        <w:tblW w:type="auto" w:w="0"/>
        <w:jc w:val="center"/>
        <w:tblLayout w:type="fixed"/>
        <w:tblLook w:firstColumn="1" w:firstRow="1" w:lastColumn="0" w:lastRow="0" w:noHBand="0" w:noVBand="1" w:val="04A0"/>
      </w:tblPr>
      <w:tblGrid>
        <w:gridCol w:w="1512"/>
        <w:gridCol w:w="5040"/>
        <w:gridCol w:w="3470"/>
      </w:tblGrid>
      <w:tr>
        <w:trPr>
          <w:cantSplit/>
          <w:tblHeader/>
        </w:trPr>
        <w:tc>
          <w:tcPr>
            <w:tcW w:type="dxa" w:w="151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Период</w:t>
            </w:r>
          </w:p>
        </w:tc>
        <w:tc>
          <w:tcPr>
            <w:tcW w:type="dxa" w:w="504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Работа</w:t>
            </w:r>
          </w:p>
        </w:tc>
        <w:tc>
          <w:tcPr>
            <w:tcW w:type="dxa" w:w="347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20"/>
              </w:rPr>
              <w:t>Контрольный результат</w:t>
            </w:r>
          </w:p>
        </w:tc>
      </w:tr>
      <w:tr>
        <w:trPr>
          <w:cantSplit/>
        </w:trPr>
        <w:tc>
          <w:tcPr>
            <w:tcW w:type="dxa" w:w="151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Дни 1–15</w:t>
            </w:r>
          </w:p>
        </w:tc>
        <w:tc>
          <w:tcPr>
            <w:tcW w:type="dxa" w:w="504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Выбор объекта и варианта. Проверка полномочий, доступов, исходной документации и ограничений</w:t>
            </w:r>
          </w:p>
        </w:tc>
        <w:tc>
          <w:tcPr>
            <w:tcW w:type="dxa" w:w="347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Подписанный паспорт, команда, границы и программа измерений</w:t>
            </w:r>
          </w:p>
        </w:tc>
      </w:tr>
      <w:tr>
        <w:trPr>
          <w:cantSplit/>
        </w:trPr>
        <w:tc>
          <w:tcPr>
            <w:tcW w:type="dxa" w:w="151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Дни 16–30</w:t>
            </w:r>
          </w:p>
        </w:tc>
        <w:tc>
          <w:tcPr>
            <w:tcW w:type="dxa" w:w="504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Сбор исходного состояния. Проверка приборов и источников. Словарь показателей и план сравнения</w:t>
            </w:r>
          </w:p>
        </w:tc>
        <w:tc>
          <w:tcPr>
            <w:tcW w:type="dxa" w:w="347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База измерений, перечень пропусков, согласованные критерии</w:t>
            </w:r>
          </w:p>
        </w:tc>
      </w:tr>
      <w:tr>
        <w:trPr>
          <w:cantSplit/>
        </w:trPr>
        <w:tc>
          <w:tcPr>
            <w:tcW w:type="dxa" w:w="151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Дни 31–60</w:t>
            </w:r>
          </w:p>
        </w:tc>
        <w:tc>
          <w:tcPr>
            <w:tcW w:type="dxa" w:w="504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Анализ и расчеты. Ограниченная проверка решения, если она безопасна и технически доступна</w:t>
            </w:r>
          </w:p>
        </w:tc>
        <w:tc>
          <w:tcPr>
            <w:tcW w:type="dxa" w:w="347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20"/>
              </w:rPr>
              <w:t>Протокол проверки, версия модели, выявленные риски и уточнения</w:t>
            </w:r>
          </w:p>
        </w:tc>
      </w:tr>
      <w:tr>
        <w:trPr>
          <w:cantSplit/>
        </w:trPr>
        <w:tc>
          <w:tcPr>
            <w:tcW w:type="dxa" w:w="151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Дни 61–90</w:t>
            </w:r>
          </w:p>
        </w:tc>
        <w:tc>
          <w:tcPr>
            <w:tcW w:type="dxa" w:w="504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Сравнение результатов. Уточнение экономики. Подготовка задания и бюджета следующего этапа</w:t>
            </w:r>
          </w:p>
        </w:tc>
        <w:tc>
          <w:tcPr>
            <w:tcW w:type="dxa" w:w="347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20"/>
              </w:rPr>
              <w:t>Итоговое досье и решение о продолжении, доработке или остановке</w:t>
            </w:r>
          </w:p>
        </w:tc>
      </w:tr>
    </w:tbl>
    <w:p>
      <w:pPr>
        <w:spacing w:after="40"/>
      </w:pPr>
      <w:r>
        <w:rPr>
          <w:b w:val="0"/>
        </w:rPr>
      </w:r>
    </w:p>
    <w:p>
      <w:pPr>
        <w:pStyle w:val="Heading2"/>
      </w:pPr>
      <w:r>
        <w:t>Рабочий ритм</w:t>
      </w:r>
    </w:p>
    <w:p>
      <w:r>
        <w:rPr>
          <w:b w:val="0"/>
        </w:rPr>
        <w:t>Предлагаем короткую еженедельную встречу команды по отклонениям и данным. Протокол содержит выполненные работы, препятствия, решения, ответственных и даты. Каждое изменение границы объекта, методики или бюджета получает отдельное согласование. Технические наблюдения сохраняются и при неблагоприятном результате.</w:t>
      </w:r>
    </w:p>
    <w:p>
      <w:pPr>
        <w:pStyle w:val="Heading2"/>
      </w:pPr>
      <w:r>
        <w:t>Что входит в итоговое досье</w:t>
      </w:r>
    </w:p>
    <w:p>
      <w:pPr>
        <w:ind w:left="230" w:hanging="187"/>
      </w:pPr>
      <w:r>
        <w:rPr>
          <w:b w:val="0"/>
        </w:rPr>
        <w:t>• Паспорт объекта и подтверждение полномочий участников.</w:t>
      </w:r>
    </w:p>
    <w:p>
      <w:pPr>
        <w:ind w:left="230" w:hanging="187"/>
      </w:pPr>
      <w:r>
        <w:rPr>
          <w:b w:val="0"/>
        </w:rPr>
        <w:t>• Исходные данные, методики, протоколы и журнал изменений.</w:t>
      </w:r>
    </w:p>
    <w:p>
      <w:pPr>
        <w:ind w:left="230" w:hanging="187"/>
      </w:pPr>
      <w:r>
        <w:rPr>
          <w:b w:val="0"/>
        </w:rPr>
        <w:t>• Расчет результатов с диапазонами, ограничениями и проверкой сопоставимости.</w:t>
      </w:r>
    </w:p>
    <w:p>
      <w:pPr>
        <w:ind w:left="230" w:hanging="187"/>
      </w:pPr>
      <w:r>
        <w:rPr>
          <w:b w:val="0"/>
        </w:rPr>
        <w:t>• Смета, риски, проект технического задания и график следующего этапа.</w:t>
      </w:r>
    </w:p>
    <w:p>
      <w:pPr>
        <w:ind w:left="230" w:hanging="187"/>
      </w:pPr>
      <w:r>
        <w:rPr>
          <w:b w:val="0"/>
        </w:rPr>
        <w:t>• Решение принимающей стороны и перечень оставшихся вопросов.</w:t>
      </w:r>
    </w:p>
    <w:p>
      <w:pPr>
        <w:pStyle w:val="Heading2"/>
      </w:pPr>
      <w:r>
        <w:t>Условие масштабирования</w:t>
      </w:r>
    </w:p>
    <w:p>
      <w:r>
        <w:rPr>
          <w:b w:val="0"/>
        </w:rPr>
        <w:t>Перенос результата на другое судно, порт или маршрут требует проверки совместимости условий. Сначала фиксируется, что именно воспроизводится: методика, комплект оборудования, схема данных или способ организации работы. Объем тиражирования определяется после подтверждения этих условий на следующем объекте.</w:t>
      </w:r>
    </w:p>
    <w:p>
      <w:r>
        <w:br w:type="page"/>
      </w:r>
    </w:p>
    <w:p>
      <w:pPr>
        <w:pStyle w:val="Heading1"/>
      </w:pPr>
      <w:r>
        <w:t>10 Риски и приемка результата</w:t>
      </w:r>
    </w:p>
    <w:p>
      <w:r>
        <w:rPr>
          <w:b w:val="0"/>
        </w:rPr>
        <w:t>Риски оцениваются до запуска и пересматриваются при изменении объекта или метода. Ответственный по каждой строке назначается в паспорте. Для событий, влияющих на безопасность, порядок остановки работ и уведомления задается владельцем объекта заранее.</w:t>
      </w:r>
    </w:p>
    <w:tbl>
      <w:tblPr>
        <w:tblW w:type="auto" w:w="0"/>
        <w:jc w:val="center"/>
        <w:tblLayout w:type="fixed"/>
        <w:tblLook w:firstColumn="1" w:firstRow="1" w:lastColumn="0" w:lastRow="0" w:noHBand="0" w:noVBand="1" w:val="04A0"/>
      </w:tblPr>
      <w:tblGrid>
        <w:gridCol w:w="2232"/>
        <w:gridCol w:w="3960"/>
        <w:gridCol w:w="3830"/>
      </w:tblGrid>
      <w:tr>
        <w:trPr>
          <w:cantSplit/>
          <w:tblHeader/>
        </w:trPr>
        <w:tc>
          <w:tcPr>
            <w:tcW w:type="dxa" w:w="223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19"/>
              </w:rPr>
              <w:t>Риск</w:t>
            </w:r>
          </w:p>
        </w:tc>
        <w:tc>
          <w:tcPr>
            <w:tcW w:type="dxa" w:w="396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19"/>
              </w:rPr>
              <w:t>Предлагаемое действие</w:t>
            </w:r>
          </w:p>
        </w:tc>
        <w:tc>
          <w:tcPr>
            <w:tcW w:type="dxa" w:w="383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DDEDF4"/>
          </w:tcPr>
          <w:p>
            <w:pPr>
              <w:spacing w:after="40" w:line="250" w:lineRule="auto"/>
            </w:pPr>
            <w:r>
              <w:rPr>
                <w:b/>
                <w:color w:val="000000"/>
                <w:sz w:val="19"/>
              </w:rPr>
              <w:t>Основание для приемки</w:t>
            </w:r>
          </w:p>
        </w:tc>
      </w:tr>
      <w:tr>
        <w:trPr>
          <w:cantSplit/>
        </w:trPr>
        <w:tc>
          <w:tcPr>
            <w:tcW w:type="dxa" w:w="223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19"/>
              </w:rPr>
              <w:t>Неполные или несопоставимые данные</w:t>
            </w:r>
          </w:p>
        </w:tc>
        <w:tc>
          <w:tcPr>
            <w:tcW w:type="dxa" w:w="396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19"/>
              </w:rPr>
              <w:t>Указать пропуски; согласовать условия сравнения; повторить измерение при необходимости</w:t>
            </w:r>
          </w:p>
        </w:tc>
        <w:tc>
          <w:tcPr>
            <w:tcW w:type="dxa" w:w="383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19"/>
              </w:rPr>
              <w:t>Достаточность данных подтверждена принимающим специалистом</w:t>
            </w:r>
          </w:p>
        </w:tc>
      </w:tr>
      <w:tr>
        <w:trPr>
          <w:cantSplit/>
        </w:trPr>
        <w:tc>
          <w:tcPr>
            <w:tcW w:type="dxa" w:w="223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19"/>
              </w:rPr>
              <w:t>Неверная модель эффекта</w:t>
            </w:r>
          </w:p>
        </w:tc>
        <w:tc>
          <w:tcPr>
            <w:tcW w:type="dxa" w:w="396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19"/>
              </w:rPr>
              <w:t>Сохранить допущения; проверить на наблюдениях; оценить чувствительность</w:t>
            </w:r>
          </w:p>
        </w:tc>
        <w:tc>
          <w:tcPr>
            <w:tcW w:type="dxa" w:w="383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19"/>
              </w:rPr>
              <w:t>Вывод воспроизводится из переданного набора данных</w:t>
            </w:r>
          </w:p>
        </w:tc>
      </w:tr>
      <w:tr>
        <w:trPr>
          <w:cantSplit/>
        </w:trPr>
        <w:tc>
          <w:tcPr>
            <w:tcW w:type="dxa" w:w="223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19"/>
              </w:rPr>
              <w:t>Повреждение или нарушение режима</w:t>
            </w:r>
          </w:p>
        </w:tc>
        <w:tc>
          <w:tcPr>
            <w:tcW w:type="dxa" w:w="396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19"/>
              </w:rPr>
              <w:t>Ограничить объем проверки; согласовать программу и критерии остановки</w:t>
            </w:r>
          </w:p>
        </w:tc>
        <w:tc>
          <w:tcPr>
            <w:tcW w:type="dxa" w:w="383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19"/>
              </w:rPr>
              <w:t>Есть разрешенный режим и протокол выполнения</w:t>
            </w:r>
          </w:p>
        </w:tc>
      </w:tr>
      <w:tr>
        <w:trPr>
          <w:cantSplit/>
        </w:trPr>
        <w:tc>
          <w:tcPr>
            <w:tcW w:type="dxa" w:w="223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19"/>
              </w:rPr>
              <w:t>Несовместимость систем</w:t>
            </w:r>
          </w:p>
        </w:tc>
        <w:tc>
          <w:tcPr>
            <w:tcW w:type="dxa" w:w="396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19"/>
              </w:rPr>
              <w:t>Проверить интерфейсы, мощность, габариты и обслуживание до закупки</w:t>
            </w:r>
          </w:p>
        </w:tc>
        <w:tc>
          <w:tcPr>
            <w:tcW w:type="dxa" w:w="383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19"/>
              </w:rPr>
              <w:t>Подтверждены требования судна и берегового объекта</w:t>
            </w:r>
          </w:p>
        </w:tc>
      </w:tr>
      <w:tr>
        <w:trPr>
          <w:cantSplit/>
        </w:trPr>
        <w:tc>
          <w:tcPr>
            <w:tcW w:type="dxa" w:w="223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19"/>
              </w:rPr>
              <w:t>Утечка данных или киберинцидент</w:t>
            </w:r>
          </w:p>
        </w:tc>
        <w:tc>
          <w:tcPr>
            <w:tcW w:type="dxa" w:w="396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19"/>
              </w:rPr>
              <w:t>Разграничить доступы; отделить сбор данных от управления; вести журнал</w:t>
            </w:r>
          </w:p>
        </w:tc>
        <w:tc>
          <w:tcPr>
            <w:tcW w:type="dxa" w:w="383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19"/>
              </w:rPr>
              <w:t>Проверены доступы, резервирование и восстановление</w:t>
            </w:r>
          </w:p>
        </w:tc>
      </w:tr>
      <w:tr>
        <w:trPr>
          <w:cantSplit/>
        </w:trPr>
        <w:tc>
          <w:tcPr>
            <w:tcW w:type="dxa" w:w="223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19"/>
              </w:rPr>
              <w:t>Неподтвержденный экологический эффект</w:t>
            </w:r>
          </w:p>
        </w:tc>
        <w:tc>
          <w:tcPr>
            <w:tcW w:type="dxa" w:w="396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19"/>
              </w:rPr>
              <w:t>Согласовать базу, точки, методику и период наблюдений</w:t>
            </w:r>
          </w:p>
        </w:tc>
        <w:tc>
          <w:tcPr>
            <w:tcW w:type="dxa" w:w="383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7FAFB"/>
          </w:tcPr>
          <w:p>
            <w:pPr>
              <w:spacing w:after="40" w:line="250" w:lineRule="auto"/>
            </w:pPr>
            <w:r>
              <w:rPr>
                <w:b w:val="0"/>
                <w:color w:val="000000"/>
                <w:sz w:val="19"/>
              </w:rPr>
              <w:t>Вывод ограничен фактически измеренными изменениями</w:t>
            </w:r>
          </w:p>
        </w:tc>
      </w:tr>
      <w:tr>
        <w:trPr>
          <w:cantSplit/>
        </w:trPr>
        <w:tc>
          <w:tcPr>
            <w:tcW w:type="dxa" w:w="2232"/>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19"/>
              </w:rPr>
              <w:t>Рост стоимости и срыв срока</w:t>
            </w:r>
          </w:p>
        </w:tc>
        <w:tc>
          <w:tcPr>
            <w:tcW w:type="dxa" w:w="396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19"/>
              </w:rPr>
              <w:t>Разделить обязательный объем и дополнительные работы; обновить смету</w:t>
            </w:r>
          </w:p>
        </w:tc>
        <w:tc>
          <w:tcPr>
            <w:tcW w:type="dxa" w:w="3830"/>
            <w:vAlign w:val="center"/>
            <w:tcMar>
              <w:top w:w="85" w:type="dxa"/>
              <w:left w:w="100" w:type="dxa"/>
              <w:bottom w:w="85"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40" w:line="250" w:lineRule="auto"/>
            </w:pPr>
            <w:r>
              <w:rPr>
                <w:b w:val="0"/>
                <w:color w:val="000000"/>
                <w:sz w:val="19"/>
              </w:rPr>
              <w:t>Отклонения и остаточные обязательства отражены в решении</w:t>
            </w:r>
          </w:p>
        </w:tc>
      </w:tr>
    </w:tbl>
    <w:p>
      <w:pPr>
        <w:spacing w:after="40"/>
      </w:pPr>
      <w:r>
        <w:rPr>
          <w:b w:val="0"/>
        </w:rPr>
      </w:r>
    </w:p>
    <w:p>
      <w:pPr>
        <w:pStyle w:val="Heading2"/>
      </w:pPr>
      <w:r>
        <w:t>Критерии завершения</w:t>
      </w:r>
    </w:p>
    <w:p>
      <w:r>
        <w:rPr>
          <w:b w:val="0"/>
        </w:rPr>
        <w:t>Работа принимается, когда передан согласованный комплект данных и протоколов, выводы соответствуют измерениям, ограничения описаны, а ответственные подписали результат. Положительная экономия не является единственным основанием приемки исследовательского пилота. Обоснованный вывод о непригодности решения также может закрывать техническое задание.</w:t>
      </w:r>
    </w:p>
    <w:p>
      <w:r>
        <w:rPr>
          <w:b w:val="0"/>
        </w:rPr>
        <w:t>Продолжение допускается при достаточности доказательств, определенном владельце следующего этапа и подтвержденном ресурсе на него. При неустраненном существенном риске принимается решение о доработке или прекращении работ с сохранением полученного досье.</w:t>
      </w:r>
    </w:p>
    <w:p>
      <w:r>
        <w:br w:type="page"/>
      </w:r>
    </w:p>
    <w:p>
      <w:pPr>
        <w:pStyle w:val="Heading1"/>
      </w:pPr>
      <w:r>
        <w:t>11 Паспорт пилотного проекта</w:t>
      </w:r>
    </w:p>
    <w:p>
      <w:r>
        <w:rPr>
          <w:b w:val="0"/>
        </w:rPr>
        <w:t>Заполняется перед запуском. Поля редактируются в Word. Формулировки границ, результата и приемки согласуются владельцем объекта, руководителем пилота и принимающей стороной.</w:t>
      </w:r>
    </w:p>
    <w:p>
      <w:pPr>
        <w:spacing w:after="180"/>
      </w:pPr>
      <w:r>
        <w:rPr>
          <w:b w:val="0"/>
        </w:rPr>
      </w:r>
      <w:r>
        <w:rPr>
          <w:b/>
        </w:rPr>
        <w:t xml:space="preserve">Наименование и идентификатор  </w:t>
      </w:r>
      <w:sdt>
        <w:sdtPr>
          <w:alias w:val="Наименование и идентификатор"/>
          <w:tag w:val="pilot_name"/>
          <w:text/>
        </w:sdtPr>
        <w:sdtContent>
          <w:r>
            <w:t>Введите название и код</w:t>
          </w:r>
        </w:sdtContent>
      </w:sdt>
    </w:p>
    <w:p>
      <w:pPr>
        <w:spacing w:after="180"/>
      </w:pPr>
      <w:r>
        <w:rPr>
          <w:b w:val="0"/>
        </w:rPr>
      </w:r>
      <w:r>
        <w:rPr>
          <w:b/>
        </w:rPr>
        <w:t xml:space="preserve">Выбранный вариант  </w:t>
      </w:r>
      <w:sdt>
        <w:sdtPr>
          <w:alias w:val="Выбранный вариант"/>
          <w:tag w:val="pilot_type"/>
          <w:text/>
        </w:sdtPr>
        <w:sdtContent>
          <w:r>
            <w:t>А ресурс узла  /  Б маршрут  /  В береговой баланс</w:t>
          </w:r>
        </w:sdtContent>
      </w:sdt>
    </w:p>
    <w:p>
      <w:pPr>
        <w:spacing w:after="180"/>
      </w:pPr>
      <w:r>
        <w:rPr>
          <w:b w:val="0"/>
        </w:rPr>
      </w:r>
      <w:r>
        <w:rPr>
          <w:b/>
        </w:rPr>
        <w:t xml:space="preserve">Объект и местоположение  </w:t>
      </w:r>
      <w:sdt>
        <w:sdtPr>
          <w:alias w:val="Объект и местоположение"/>
          <w:tag w:val="pilot_object"/>
          <w:text/>
        </w:sdtPr>
        <w:sdtContent>
          <w:r>
            <w:t>Введите судно, узел, маршрут или участок</w:t>
          </w:r>
        </w:sdtContent>
      </w:sdt>
    </w:p>
    <w:p>
      <w:pPr>
        <w:spacing w:after="180"/>
      </w:pPr>
      <w:r>
        <w:rPr>
          <w:b w:val="0"/>
        </w:rPr>
      </w:r>
      <w:r>
        <w:rPr>
          <w:b/>
        </w:rPr>
        <w:t xml:space="preserve">Владелец и основание доступа  </w:t>
      </w:r>
      <w:sdt>
        <w:sdtPr>
          <w:alias w:val="Владелец и основание доступа"/>
          <w:tag w:val="pilot_owner"/>
          <w:text/>
        </w:sdtPr>
        <w:sdtContent>
          <w:r>
            <w:t>Введите организацию, лицо и документ</w:t>
          </w:r>
        </w:sdtContent>
      </w:sdt>
    </w:p>
    <w:p>
      <w:pPr>
        <w:spacing w:after="180"/>
      </w:pPr>
      <w:r>
        <w:rPr>
          <w:b w:val="0"/>
        </w:rPr>
      </w:r>
      <w:r>
        <w:rPr>
          <w:b/>
        </w:rPr>
        <w:t xml:space="preserve">Руководитель и принимающая сторона  </w:t>
      </w:r>
      <w:sdt>
        <w:sdtPr>
          <w:alias w:val="Руководитель и принимающая сторона"/>
          <w:tag w:val="pilot_leads"/>
          <w:text/>
        </w:sdtPr>
        <w:sdtContent>
          <w:r>
            <w:t>Введите имена, роли и контакты</w:t>
          </w:r>
        </w:sdtContent>
      </w:sdt>
    </w:p>
    <w:p>
      <w:pPr>
        <w:spacing w:after="180"/>
      </w:pPr>
      <w:r>
        <w:rPr>
          <w:b w:val="0"/>
        </w:rPr>
      </w:r>
      <w:r>
        <w:rPr>
          <w:b/>
        </w:rPr>
        <w:t xml:space="preserve">Проблема и граница работ  </w:t>
      </w:r>
      <w:sdt>
        <w:sdtPr>
          <w:alias w:val="Проблема и граница работ"/>
          <w:tag w:val="pilot_scope"/>
          <w:text/>
        </w:sdtPr>
        <w:sdtContent>
          <w:r>
            <w:t>Опишите измеримую задачу и исключения</w:t>
          </w:r>
        </w:sdtContent>
      </w:sdt>
    </w:p>
    <w:p>
      <w:pPr>
        <w:spacing w:after="180"/>
      </w:pPr>
      <w:r>
        <w:rPr>
          <w:b w:val="0"/>
        </w:rPr>
      </w:r>
      <w:r>
        <w:rPr>
          <w:b/>
        </w:rPr>
        <w:t xml:space="preserve">Исходные данные и их владелец  </w:t>
      </w:r>
      <w:sdt>
        <w:sdtPr>
          <w:alias w:val="Исходные данные и их владелец"/>
          <w:tag w:val="pilot_data"/>
          <w:text/>
        </w:sdtPr>
        <w:sdtContent>
          <w:r>
            <w:t>Укажите наборы данных, период, доступ и ограничения</w:t>
          </w:r>
        </w:sdtContent>
      </w:sdt>
    </w:p>
    <w:p>
      <w:pPr>
        <w:spacing w:after="180"/>
      </w:pPr>
      <w:r>
        <w:rPr>
          <w:b w:val="0"/>
        </w:rPr>
      </w:r>
      <w:r>
        <w:rPr>
          <w:b/>
        </w:rPr>
        <w:t xml:space="preserve">Показатели и методика  </w:t>
      </w:r>
      <w:sdt>
        <w:sdtPr>
          <w:alias w:val="Показатели и методика"/>
          <w:tag w:val="pilot_metrics"/>
          <w:text/>
        </w:sdtPr>
        <w:sdtContent>
          <w:r>
            <w:t>Укажите единицы, формулы и порядок проверки</w:t>
          </w:r>
        </w:sdtContent>
      </w:sdt>
    </w:p>
    <w:p>
      <w:pPr>
        <w:spacing w:after="180"/>
      </w:pPr>
      <w:r>
        <w:rPr>
          <w:b w:val="0"/>
        </w:rPr>
      </w:r>
      <w:r>
        <w:rPr>
          <w:b/>
        </w:rPr>
        <w:t xml:space="preserve">Результат и условия приемки  </w:t>
      </w:r>
      <w:sdt>
        <w:sdtPr>
          <w:alias w:val="Результат и условия приемки"/>
          <w:tag w:val="pilot_acceptance"/>
          <w:text/>
        </w:sdtPr>
        <w:sdtContent>
          <w:r>
            <w:t>Укажите документы, критерии и подписантов</w:t>
          </w:r>
        </w:sdtContent>
      </w:sdt>
    </w:p>
    <w:p>
      <w:pPr>
        <w:spacing w:after="180"/>
      </w:pPr>
      <w:r>
        <w:rPr>
          <w:b w:val="0"/>
        </w:rPr>
      </w:r>
      <w:r>
        <w:rPr>
          <w:b/>
        </w:rPr>
        <w:t xml:space="preserve">Срок и бюджет подготовки  </w:t>
      </w:r>
      <w:sdt>
        <w:sdtPr>
          <w:alias w:val="Срок и бюджет подготовки"/>
          <w:tag w:val="pilot_resources"/>
          <w:text/>
        </w:sdtPr>
        <w:sdtContent>
          <w:r>
            <w:t>Укажите даты, смету и источник обеспечения</w:t>
          </w:r>
        </w:sdtContent>
      </w:sdt>
    </w:p>
    <w:p>
      <w:pPr>
        <w:spacing w:after="180"/>
      </w:pPr>
      <w:r>
        <w:rPr>
          <w:b w:val="0"/>
        </w:rPr>
      </w:r>
      <w:r>
        <w:rPr>
          <w:b/>
        </w:rPr>
        <w:t xml:space="preserve">Ограничения и остановка работ  </w:t>
      </w:r>
      <w:sdt>
        <w:sdtPr>
          <w:alias w:val="Ограничения и остановка работ"/>
          <w:tag w:val="pilot_stop"/>
          <w:text/>
        </w:sdtPr>
        <w:sdtContent>
          <w:r>
            <w:t>Укажите условия остановки и ответственного</w:t>
          </w:r>
        </w:sdtContent>
      </w:sdt>
    </w:p>
    <w:p>
      <w:pPr>
        <w:pStyle w:val="Heading2"/>
      </w:pPr>
      <w:r>
        <w:t>Решения установочной встречи</w:t>
      </w:r>
    </w:p>
    <w:p>
      <w:r>
        <w:rPr>
          <w:b w:val="0"/>
        </w:rPr>
        <w:t>1. Утвердить выбранный объект, границы и ответственных.</w:t>
        <w:br/>
        <w:t>2. Назначить срок передачи исходной документации и проверки доступа.</w:t>
        <w:br/>
        <w:t>3. Согласовать методику, смету подготовки и календарь контрольных встреч.</w:t>
        <w:br/>
        <w:t>4. Зафиксировать вопросы, требующие отдельного технического или договорного решения.</w:t>
      </w:r>
    </w:p>
    <w:p>
      <w:pPr>
        <w:spacing w:after="180"/>
      </w:pPr>
      <w:r>
        <w:rPr>
          <w:b w:val="0"/>
        </w:rPr>
      </w:r>
      <w:r>
        <w:rPr>
          <w:b/>
        </w:rPr>
        <w:t xml:space="preserve">Дата решения и согласующие  </w:t>
      </w:r>
      <w:sdt>
        <w:sdtPr>
          <w:alias w:val="Дата решения и согласующие"/>
          <w:tag w:val="pilot_sign"/>
          <w:text/>
        </w:sdtPr>
        <w:sdtContent>
          <w:r>
            <w:t>Введите дату, ФИО и статус согласования</w:t>
          </w:r>
        </w:sdtContent>
      </w:sdt>
    </w:p>
    <w:p>
      <w:r>
        <w:br w:type="page"/>
      </w:r>
    </w:p>
    <w:p>
      <w:pPr>
        <w:pStyle w:val="Heading1"/>
      </w:pPr>
      <w:r>
        <w:t>12 Источники и основания программы</w:t>
      </w:r>
    </w:p>
    <w:p>
      <w:r>
        <w:rPr>
          <w:b w:val="0"/>
        </w:rPr>
        <w:t>Концепция развивает предложенную производственную цепочку ИНМОРТРАНС и дополняет ее пилотами по эксплуатации и береговым ресурсам. Международные материалы используются как ориентиры для технической постановки задач; применимость конкретных требований определяется для выбранного объекта.</w:t>
      </w:r>
    </w:p>
    <w:p>
      <w:pPr>
        <w:pStyle w:val="Heading2"/>
      </w:pPr>
      <w:r>
        <w:t>Материалы программы</w:t>
      </w:r>
    </w:p>
    <w:p>
      <w:pPr>
        <w:spacing w:after="120"/>
      </w:pPr>
      <w:r>
        <w:rPr>
          <w:b w:val="0"/>
          <w:sz w:val="18"/>
        </w:rPr>
        <w:t>А. ИНМОРТРАНС. Стратегическая программа от материаловедения к Новому Укладу. Материал 01_INMORTRANS_Strategiya.docx от 20 сентября 2026 года. Основание четырех направлений и подготовки пилота по материалу и ресурсу узла.</w:t>
      </w:r>
    </w:p>
    <w:p>
      <w:pPr>
        <w:spacing w:after="120"/>
      </w:pPr>
      <w:r>
        <w:rPr>
          <w:b w:val="0"/>
          <w:sz w:val="18"/>
        </w:rPr>
        <w:t>Б. ИНМОРТРАНС ОСК Наука Порты Судоверфи. Версия 3, 39 страниц. Основание цепочки материал — узел — судно — порт — маршрут — сервис и взаимодействия участников по отдельным задачам.</w:t>
      </w:r>
    </w:p>
    <w:p>
      <w:pPr>
        <w:pStyle w:val="Heading2"/>
      </w:pPr>
      <w:r>
        <w:t>Официальные отраслевые источники</w:t>
      </w:r>
    </w:p>
    <w:p>
      <w:pPr>
        <w:spacing w:after="40"/>
      </w:pPr>
      <w:r>
        <w:rPr>
          <w:b w:val="0"/>
          <w:sz w:val="19"/>
        </w:rPr>
        <w:t>1. IMO. EEXI and CII — questions and answers. Область применения показателей и примеры эксплуатационных мер.</w:t>
      </w:r>
    </w:p>
    <w:p>
      <w:pPr>
        <w:spacing w:after="140"/>
      </w:pPr>
      <w:r>
        <w:rPr>
          <w:b w:val="0"/>
          <w:sz w:val="16"/>
        </w:rPr>
        <w:t>https://www.imo.org/en/mediacentre/hottopics/pages/eexi-cii-faq.aspx</w:t>
      </w:r>
    </w:p>
    <w:p>
      <w:pPr>
        <w:spacing w:after="40"/>
      </w:pPr>
      <w:r>
        <w:rPr>
          <w:b w:val="0"/>
          <w:sz w:val="19"/>
        </w:rPr>
        <w:t>2. EMSA. Alternative fuels. Береговое электроснабжение и вопросы альтернативной энергетики судоходства.</w:t>
      </w:r>
    </w:p>
    <w:p>
      <w:pPr>
        <w:spacing w:after="140"/>
      </w:pPr>
      <w:r>
        <w:rPr>
          <w:b w:val="0"/>
          <w:sz w:val="16"/>
        </w:rPr>
        <w:t>https://www.emsa.europa.eu/sustainable-shipping/alternative-fuels.html</w:t>
      </w:r>
    </w:p>
    <w:p>
      <w:pPr>
        <w:spacing w:after="40"/>
      </w:pPr>
      <w:r>
        <w:rPr>
          <w:b w:val="0"/>
          <w:sz w:val="19"/>
        </w:rPr>
        <w:t>3. IMO. Lifecycle GHG assessment guidelines. Оценка парниковых газов топлива по полному жизненному циклу.</w:t>
      </w:r>
    </w:p>
    <w:p>
      <w:pPr>
        <w:spacing w:after="140"/>
      </w:pPr>
      <w:r>
        <w:rPr>
          <w:b w:val="0"/>
          <w:sz w:val="16"/>
        </w:rPr>
        <w:t>https://www.imo.org/en/ourwork/environment/pages/lifecycle-ghg---carbon-intensity-guidelines.aspx</w:t>
      </w:r>
    </w:p>
    <w:p>
      <w:pPr>
        <w:spacing w:after="40"/>
      </w:pPr>
      <w:r>
        <w:rPr>
          <w:b w:val="0"/>
          <w:sz w:val="19"/>
        </w:rPr>
        <w:t>4. Maritime and Port Authority of Singapore. Maritime Digital Twin. Использование исторических и текущих данных для моделирования сценариев.</w:t>
      </w:r>
    </w:p>
    <w:p>
      <w:pPr>
        <w:spacing w:after="140"/>
      </w:pPr>
      <w:r>
        <w:rPr>
          <w:b w:val="0"/>
          <w:sz w:val="16"/>
        </w:rPr>
        <w:t>https://www.mpa.gov.sg/maritime-singapore/innovation-and-r-d/maritime-digital-twin</w:t>
      </w:r>
    </w:p>
    <w:p>
      <w:pPr>
        <w:spacing w:after="40"/>
      </w:pPr>
      <w:r>
        <w:rPr>
          <w:b w:val="0"/>
          <w:sz w:val="19"/>
        </w:rPr>
        <w:t>5. IMO. Prevention of pollution by garbage from ships. Обращение с судовым мусором и береговые приемные сооружения.</w:t>
      </w:r>
    </w:p>
    <w:p>
      <w:pPr>
        <w:spacing w:after="140"/>
      </w:pPr>
      <w:r>
        <w:rPr>
          <w:b w:val="0"/>
          <w:sz w:val="16"/>
        </w:rPr>
        <w:t>https://www.imo.org/en/ourwork/environment/pages/garbage-default.aspx</w:t>
      </w:r>
    </w:p>
    <w:p>
      <w:pPr>
        <w:spacing w:after="40"/>
      </w:pPr>
      <w:r>
        <w:rPr>
          <w:b w:val="0"/>
          <w:sz w:val="19"/>
        </w:rPr>
        <w:t>6. IMO. Maritime cyber risk. Управление киберрисками в морской деятельности.</w:t>
      </w:r>
    </w:p>
    <w:p>
      <w:pPr>
        <w:spacing w:after="140"/>
      </w:pPr>
      <w:r>
        <w:rPr>
          <w:b w:val="0"/>
          <w:sz w:val="16"/>
        </w:rPr>
        <w:t>https://www.imo.org/en/ourwork/security/pages/cyber-security.aspx</w:t>
      </w:r>
    </w:p>
    <w:p>
      <w:pPr>
        <w:spacing w:after="120"/>
      </w:pPr>
      <w:r>
        <w:rPr>
          <w:b w:val="0"/>
          <w:sz w:val="18"/>
        </w:rPr>
        <w:t>Дата обращения к официальным страницам 26 сентября 2026 года. Ссылки [1]–[6] в тексте соответствуют этому перечню.</w:t>
      </w:r>
    </w:p>
    <w:sectPr w:rsidR="00FC693F" w:rsidRPr="0006063C" w:rsidSect="00034616">
      <w:headerReference w:type="default" r:id="rId9"/>
      <w:footerReference w:type="default" r:id="rId10"/>
      <w:pgSz w:w="12240" w:h="15840"/>
      <w:pgMar w:top="965" w:right="1109" w:bottom="893" w:left="1109"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СПЕЦЗАЩИТА  •  ЭКВИЛИБРИУМ  •  ИНМОРТРАНС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СУДОХОДСТВО НОВОГО УКЛАДА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Arial" w:hAnsi="Arial" w:eastAsia="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60"/>
      <w:outlineLvl w:val="0"/>
    </w:pPr>
    <w:rPr>
      <w:rFonts w:asciiTheme="majorHAnsi" w:eastAsiaTheme="majorEastAsia" w:hAnsiTheme="majorHAnsi" w:cstheme="majorBidi" w:ascii="Arial" w:hAnsi="Arial" w:eastAsia="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Arial" w:hAnsi="Arial" w:eastAsia="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20" w:line="240" w:lineRule="auto" w:before="0"/>
      <w:contextualSpacing/>
    </w:pPr>
    <w:rPr>
      <w:rFonts w:asciiTheme="majorHAnsi" w:eastAsiaTheme="majorEastAsia" w:hAnsiTheme="majorHAnsi" w:cstheme="majorBidi" w:ascii="Arial" w:hAnsi="Arial" w:eastAsia="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eastAsia="Arial"/>
      <w:b w:val="0"/>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100" w:after="140"/>
    </w:pPr>
    <w:rPr>
      <w:rFonts w:ascii="Arial" w:hAnsi="Arial" w:eastAsia="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Судоходство Нового Уклада</dc:title>
  <dc:subject>Концепция программы и запуска первого пилотного проекта</dc:subject>
  <dc:creator>СПЕЦЗАЩИТА ЭКВИЛИБРИУМ ИНМОРТРАНС</dc:creator>
  <cp:keywords>судоходство, ИНМОРТРАНС, СПЕЦЗАЩИТА, ЭКВИЛИБРИУМ, пилот</cp:keywords>
  <dc:description>generated by python-docx</dc:description>
  <cp:lastModifiedBy/>
  <cp:revision>1</cp:revision>
  <dcterms:created xsi:type="dcterms:W3CDTF">2013-12-23T23:15:00Z</dcterms:created>
  <dcterms:modified xsi:type="dcterms:W3CDTF">2013-12-23T23:15:00Z</dcterms:modified>
  <cp:category/>
</cp:coreProperties>
</file>