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rPr>
          <w:rFonts w:ascii="Arial" w:hAnsi="Arial"/>
          <w:b/>
          <w:color w:val="142A4A"/>
          <w:sz w:val="50"/>
        </w:rPr>
        <w:t>СРАВНИТЕЛЬНЫЙ</w:t>
        <w:br/>
        <w:t>ГОСУДАРСТВЕННО-ПРАВОВОЙ АНАЛИЗ</w:t>
      </w:r>
    </w:p>
    <w:p>
      <w:pPr>
        <w:jc w:val="center"/>
      </w:pPr>
      <w:r>
        <w:rPr>
          <w:rFonts w:ascii="Arial" w:hAnsi="Arial"/>
          <w:color w:val="285B8F"/>
          <w:sz w:val="30"/>
        </w:rPr>
        <w:t>Государственная уставная грамота Российской империи 1820 года</w:t>
        <w:br/>
        <w:t>Свод законов Российской империи и Основные законы 1906 года</w:t>
        <w:br/>
        <w:t>Конституция СССР 1936 года</w:t>
        <w:br/>
        <w:t>Действующая Конституция Российской Федерации</w:t>
      </w:r>
    </w:p>
    <w:p>
      <w:pPr>
        <w:spacing w:before="560"/>
        <w:jc w:val="center"/>
      </w:pPr>
      <w:r>
        <w:rPr>
          <w:rFonts w:ascii="Arial" w:hAnsi="Arial"/>
          <w:b/>
          <w:color w:val="B18A34"/>
          <w:sz w:val="36"/>
        </w:rPr>
        <w:t>ВЫБОР РЕШЕНИЯ ДЛЯ СИСТЕМЫ</w:t>
        <w:br/>
        <w:t>«ЕДИНОЕ ГОСУДАРСТВО — НОВЫЙ УКЛАД»</w:t>
      </w:r>
    </w:p>
    <w:p>
      <w:pPr>
        <w:spacing w:before="840"/>
        <w:jc w:val="center"/>
      </w:pPr>
      <w:r>
        <w:rPr>
          <w:rFonts w:ascii="Arial" w:hAnsi="Arial"/>
          <w:color w:val="6B7280"/>
          <w:sz w:val="22"/>
        </w:rPr>
        <w:t>Аналитический доклад</w:t>
        <w:br/>
        <w:t>Редакция 1.0 | Сентябрь 2026 года</w:t>
      </w: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FF6D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8A6420"/>
                <w:sz w:val="22"/>
              </w:rPr>
              <w:t>Правовой статус исследования</w:t>
              <w:br/>
            </w:r>
            <w:r>
              <w:rPr>
                <w:color w:val="202A35"/>
                <w:sz w:val="21"/>
              </w:rPr>
              <w:t>Документ представляет сравнительный историко-правовой и институциональный анализ. Он не является заключением о действительности исторических актов, проектом насильственного изменения конституционного строя или готовым юридическим заключением. Реализация рекомендаций возможна только в рамках действующей Конституции, законных процедур, общественного согласия и профессиональной правовой экспертизы.</w:t>
            </w:r>
          </w:p>
        </w:tc>
      </w:tr>
    </w:tbl>
    <w:p>
      <w:pPr>
        <w:spacing w:after="0"/>
      </w:pPr>
    </w:p>
    <w:p>
      <w:pPr>
        <w:pStyle w:val="Heading1"/>
        <w:spacing w:before="240" w:after="120"/>
      </w:pPr>
      <w:r>
        <w:t>Содержание</w:t>
      </w:r>
    </w:p>
    <w:p>
      <w:pPr>
        <w:pStyle w:val="ListNumber"/>
      </w:pPr>
      <w:r>
        <w:t>Резюме и итоговый выбор</w:t>
      </w:r>
    </w:p>
    <w:p>
      <w:pPr>
        <w:pStyle w:val="ListNumber"/>
      </w:pPr>
      <w:r>
        <w:t>Методика сравнения и статус источников</w:t>
      </w:r>
    </w:p>
    <w:p>
      <w:pPr>
        <w:pStyle w:val="ListNumber"/>
      </w:pPr>
      <w:r>
        <w:t>Государственная уставная грамота 1820 года</w:t>
      </w:r>
    </w:p>
    <w:p>
      <w:pPr>
        <w:pStyle w:val="ListNumber"/>
      </w:pPr>
      <w:r>
        <w:t>Свод законов Российской империи и Основные законы 1906 года</w:t>
      </w:r>
    </w:p>
    <w:p>
      <w:pPr>
        <w:pStyle w:val="ListNumber"/>
      </w:pPr>
      <w:r>
        <w:t>Конституция СССР 1936 года</w:t>
      </w:r>
    </w:p>
    <w:p>
      <w:pPr>
        <w:pStyle w:val="ListNumber"/>
      </w:pPr>
      <w:r>
        <w:t>Действующая Конституция Российской Федерации</w:t>
      </w:r>
    </w:p>
    <w:p>
      <w:pPr>
        <w:pStyle w:val="ListNumber"/>
      </w:pPr>
      <w:r>
        <w:t>Сравнительные матрицы</w:t>
      </w:r>
    </w:p>
    <w:p>
      <w:pPr>
        <w:pStyle w:val="ListNumber"/>
      </w:pPr>
      <w:r>
        <w:t>Что можно принять, адаптировать и исключить</w:t>
      </w:r>
    </w:p>
    <w:p>
      <w:pPr>
        <w:pStyle w:val="ListNumber"/>
      </w:pPr>
      <w:r>
        <w:t>Варианты решения и экспертная оценка</w:t>
      </w:r>
    </w:p>
    <w:p>
      <w:pPr>
        <w:pStyle w:val="ListNumber"/>
      </w:pPr>
      <w:r>
        <w:t>Рекомендуемая модель преемственной модернизации</w:t>
      </w:r>
    </w:p>
    <w:p>
      <w:pPr>
        <w:pStyle w:val="ListNumber"/>
      </w:pPr>
      <w:r>
        <w:t>Правовые ограничения и допустимые траектории ЕГ</w:t>
      </w:r>
    </w:p>
    <w:p>
      <w:pPr>
        <w:pStyle w:val="ListNumber"/>
      </w:pPr>
      <w:r>
        <w:t>Архитектура Цифрового Свода и Живого Баланса</w:t>
      </w:r>
    </w:p>
    <w:p>
      <w:pPr>
        <w:pStyle w:val="ListNumber"/>
      </w:pPr>
      <w:r>
        <w:t>Дорожная карта 2026–2035</w:t>
      </w:r>
    </w:p>
    <w:p>
      <w:pPr>
        <w:pStyle w:val="ListNumber"/>
      </w:pPr>
      <w:r>
        <w:t>Риски и предохранители</w:t>
      </w:r>
    </w:p>
    <w:p>
      <w:pPr>
        <w:pStyle w:val="ListNumber"/>
      </w:pPr>
      <w:r>
        <w:t>Решение, предлагаемое к принятию</w:t>
      </w:r>
    </w:p>
    <w:p>
      <w:pPr>
        <w:pStyle w:val="ListNumber"/>
      </w:pPr>
      <w:r>
        <w:t>Приложение: 19 направлений Нового Уклада</w:t>
      </w:r>
    </w:p>
    <w:p>
      <w:pPr>
        <w:pStyle w:val="ListNumber"/>
      </w:pPr>
      <w:r>
        <w:t>Источники и нормативные тексты</w:t>
      </w:r>
    </w:p>
    <w:p>
      <w:r>
        <w:br w:type="page"/>
      </w:r>
    </w:p>
    <w:p>
      <w:pPr>
        <w:pStyle w:val="Heading1"/>
        <w:spacing w:before="240" w:after="120"/>
      </w:pPr>
      <w:r>
        <w:t>1. Резюме и итоговый выбор</w:t>
      </w:r>
    </w:p>
    <w:p>
      <w:pPr>
        <w:pStyle w:val="ListBullet"/>
      </w:pPr>
      <w:r>
        <w:t>Уставная грамота 1820 года была реформаторским проектом конституции, а не действовавшей конституцией. Её ценность — в ранней попытке связать верховную власть законом, представительством, бюджетом, ответственностью министров и независимым судом.</w:t>
      </w:r>
    </w:p>
    <w:p>
      <w:pPr>
        <w:pStyle w:val="ListBullet"/>
      </w:pPr>
      <w:r>
        <w:t>Свод законов Российской империи — не единая конституция, а систематизированный корпус действующего права. Для конституционного сравнения его следует рассматривать через Основные государственные законы, особенно редакцию 1906 года.</w:t>
      </w:r>
    </w:p>
    <w:p>
      <w:pPr>
        <w:pStyle w:val="ListBullet"/>
      </w:pPr>
      <w:r>
        <w:t>Конституция СССР 1936 года дала наиболее выраженную модель государственного планирования, социальных прав и государственной/кооперативной собственности, но сочетала их с идеологической монополией и отсутствием современного разделения властей.</w:t>
      </w:r>
    </w:p>
    <w:p>
      <w:pPr>
        <w:pStyle w:val="ListBullet"/>
      </w:pPr>
      <w:r>
        <w:t>Действующая Конституция РФ обеспечивает народный суверенитет, права человека, политический и экономический плюрализм, федерализм, разделение властей и судебную защиту. Она уже содержит нормы о социальном государстве, устойчивом росте, солидарности, культуре, труде и правопреемстве СССР.</w:t>
      </w:r>
    </w:p>
    <w:p>
      <w:pPr>
        <w:pStyle w:val="ListBullet"/>
      </w:pPr>
      <w:r>
        <w:t>Буквальное восстановление любой исторической модели создаёт конфликт с современным правом и обществом. Исторические тексты следует использовать как библиотеку институтов, а не как готовый шаблон реставрации.</w:t>
      </w:r>
    </w:p>
    <w:p>
      <w:pPr>
        <w:pStyle w:val="ListBullet"/>
      </w:pPr>
      <w:r>
        <w:t>Рекомендуемый выбор — преемственная конституционная модернизация: сохранить действующую Конституцию как правовой фундамент, создать Цифровой Свод законов, усилить стратегическое планирование, связать план–бюджет–учёт–результат, ввести Живой Баланс и развивать социальные, кооперативные и природные контуры без государственной идеологической монополии.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8F3E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2F6B3B"/>
                <w:sz w:val="22"/>
              </w:rPr>
              <w:t>Выбор решения</w:t>
              <w:br/>
            </w:r>
            <w:r>
              <w:rPr>
                <w:color w:val="202A35"/>
                <w:sz w:val="21"/>
              </w:rPr>
              <w:t>Вариант D: действующая Конституция + Цифровой Свод законов + Государственный Конструктор + 19 связанных балансов + Живой Баланс + усиленная ответственность и независимая проверка. Это даёт максимум преемственности, правовой реализуемости, социального содержания и управляемости.</w:t>
            </w:r>
          </w:p>
        </w:tc>
      </w:tr>
    </w:tbl>
    <w:p>
      <w:pPr>
        <w:spacing w:after="0"/>
      </w:pPr>
    </w:p>
    <w:p>
      <w:r>
        <w:drawing>
          <wp:inline xmlns:a="http://schemas.openxmlformats.org/drawingml/2006/main" xmlns:pic="http://schemas.openxmlformats.org/drawingml/2006/picture">
            <wp:extent cx="6217920" cy="14035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melin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403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Note"/>
        <w:jc w:val="center"/>
      </w:pPr>
      <w:r>
        <w:t>Рисунок 1. Историческая линия сравниваемых правовых моделей</w:t>
      </w:r>
    </w:p>
    <w:p>
      <w:pPr>
        <w:pStyle w:val="Heading1"/>
        <w:spacing w:before="240" w:after="120"/>
      </w:pPr>
      <w:r>
        <w:t>2. Методика сравнения и статус источников</w:t>
      </w:r>
    </w:p>
    <w:p>
      <w:r>
        <w:t>Сравнение проведено по нормативным текстам и институциональной логике. Фактическая политическая практика каждой эпохи не отождествляется с формулировками документа: наличие права в тексте ещё не доказывает полноту его реализации.</w:t>
      </w:r>
    </w:p>
    <w:p>
      <w:pPr>
        <w:pStyle w:val="ListBullet"/>
      </w:pPr>
      <w:r>
        <w:t>юридический статус и источник верховной власти;</w:t>
      </w:r>
    </w:p>
    <w:p>
      <w:pPr>
        <w:pStyle w:val="ListBullet"/>
      </w:pPr>
      <w:r>
        <w:t>форма государства и территориальная организация;</w:t>
      </w:r>
    </w:p>
    <w:p>
      <w:pPr>
        <w:pStyle w:val="ListBullet"/>
      </w:pPr>
      <w:r>
        <w:t>законодательная, исполнительная и судебная архитектура;</w:t>
      </w:r>
    </w:p>
    <w:p>
      <w:pPr>
        <w:pStyle w:val="ListBullet"/>
      </w:pPr>
      <w:r>
        <w:t>права, свободы, обязанности и доступ к правосудию;</w:t>
      </w:r>
    </w:p>
    <w:p>
      <w:pPr>
        <w:pStyle w:val="ListBullet"/>
      </w:pPr>
      <w:r>
        <w:t>идеологический и духовно-культурный режим;</w:t>
      </w:r>
    </w:p>
    <w:p>
      <w:pPr>
        <w:pStyle w:val="ListBullet"/>
      </w:pPr>
      <w:r>
        <w:t>собственность, экономика, планирование и бюджет;</w:t>
      </w:r>
    </w:p>
    <w:p>
      <w:pPr>
        <w:pStyle w:val="ListBullet"/>
      </w:pPr>
      <w:r>
        <w:t>региональное и местное управление;</w:t>
      </w:r>
    </w:p>
    <w:p>
      <w:pPr>
        <w:pStyle w:val="ListBullet"/>
      </w:pPr>
      <w:r>
        <w:t>ответственность должностных лиц и контроль;</w:t>
      </w:r>
    </w:p>
    <w:p>
      <w:pPr>
        <w:pStyle w:val="ListBullet"/>
      </w:pPr>
      <w:r>
        <w:t>кодификация и доступность права;</w:t>
      </w:r>
    </w:p>
    <w:p>
      <w:pPr>
        <w:pStyle w:val="ListBullet"/>
      </w:pPr>
      <w:r>
        <w:t>порядок изменения основ государственного строя.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Документ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Период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Статус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Роль в анализе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Государственная уставная грамота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1818–1820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Проект конституции; не введён в действие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Источник идей и институтов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Свод законов Российской империи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1832; действовал с 1835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Официальная кодификация действующего права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Модель систематизации права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Основные государственные законы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1832; редакция 1906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Конституционное ядро имперского Свода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Модель ограниченного дуализма монархии и представительства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Конституция СССР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1936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Действовавший основной закон СССР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Модель советской федерации, планирования и социальных прав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Конституция РФ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1993; поправки 2020; официальный текст 2022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Действующий основной закон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Обязательный правовой фундамент любого современного решения</w:t>
            </w:r>
          </w:p>
        </w:tc>
      </w:tr>
    </w:tbl>
    <w:p>
      <w:pPr>
        <w:pStyle w:val="Heading1"/>
        <w:spacing w:before="240" w:after="120"/>
      </w:pPr>
      <w:r>
        <w:t>3. Государственная уставная грамота Российской империи 1820 года</w:t>
      </w:r>
    </w:p>
    <w:p>
      <w:pPr>
        <w:pStyle w:val="Heading2"/>
        <w:spacing w:before="240" w:after="120"/>
      </w:pPr>
      <w:r>
        <w:t>3.1. Статус и замысел</w:t>
      </w:r>
    </w:p>
    <w:p>
      <w:r>
        <w:t>Грамота создавалась по поручению Александра I под общим руководством Н. Н. Новосильцева как проект конституционного устройства империи. Подготовленный манифест о введении проекта остался неподписанным; поэтому документ нельзя считать действовавшим Основным законом.</w:t>
      </w:r>
    </w:p>
    <w:p>
      <w:pPr>
        <w:pStyle w:val="Heading2"/>
        <w:spacing w:before="240" w:after="120"/>
      </w:pPr>
      <w:r>
        <w:t>3.2. Институциональная конструкция</w:t>
      </w:r>
    </w:p>
    <w:p>
      <w:pPr>
        <w:pStyle w:val="ListBullet"/>
      </w:pPr>
      <w:r>
        <w:t>Монарх сохранял неразделимую верховную власть и объявлялся источником гражданских, политических, законодательных и военных полномочий.</w:t>
      </w:r>
    </w:p>
    <w:p>
      <w:pPr>
        <w:pStyle w:val="ListBullet"/>
      </w:pPr>
      <w:r>
        <w:t>Законодательству должен был содействовать Государственный сейм — государь и две палаты; предусматривались также наместнические сеймы.</w:t>
      </w:r>
    </w:p>
    <w:p>
      <w:pPr>
        <w:pStyle w:val="ListBullet"/>
      </w:pPr>
      <w:r>
        <w:t>Общие и местные законы разводились по уровням; местные законы предполагали участие региональных сеймов.</w:t>
      </w:r>
    </w:p>
    <w:p>
      <w:pPr>
        <w:pStyle w:val="ListBullet"/>
      </w:pPr>
      <w:r>
        <w:t>Предусматривались общегосударственный и региональные бюджеты, рассмотрение финансовых законопроектов представительными палатами.</w:t>
      </w:r>
    </w:p>
    <w:p>
      <w:pPr>
        <w:pStyle w:val="ListBullet"/>
      </w:pPr>
      <w:r>
        <w:t>Министерская контрасигнатура связывала акт с ответственностью министра за соответствие грамоте и законам.</w:t>
      </w:r>
    </w:p>
    <w:p>
      <w:pPr>
        <w:pStyle w:val="ListBullet"/>
      </w:pPr>
      <w:r>
        <w:t>Государственный совет должен был рассматривать проекты законов, споры компетенций, отчёты ведомств и злоупотребления.</w:t>
      </w:r>
    </w:p>
    <w:p>
      <w:pPr>
        <w:pStyle w:val="ListBullet"/>
      </w:pPr>
      <w:r>
        <w:t>Административные и судебные функции предполагалось разделить; судьи объявлялись действующими по закону и независимо от иной власти.</w:t>
      </w:r>
    </w:p>
    <w:p>
      <w:pPr>
        <w:pStyle w:val="Heading2"/>
        <w:spacing w:before="240" w:after="120"/>
      </w:pPr>
      <w:r>
        <w:t>3.3. Права и ограничения</w:t>
      </w:r>
    </w:p>
    <w:p>
      <w:pPr>
        <w:pStyle w:val="ListBullet"/>
      </w:pPr>
      <w:r>
        <w:t>Равная защита законом, запрет произвольного задержания, требование законного суда и предварительно опубликованного закона.</w:t>
      </w:r>
    </w:p>
    <w:p>
      <w:pPr>
        <w:pStyle w:val="ListBullet"/>
      </w:pPr>
      <w:r>
        <w:t>Свобода печати, право выезда, защита собственности и предварительное возмещение при отчуждении для общественной пользы.</w:t>
      </w:r>
    </w:p>
    <w:p>
      <w:pPr>
        <w:pStyle w:val="ListBullet"/>
      </w:pPr>
      <w:r>
        <w:t>Православие сохранялось господствующей верой при заявленной свободе иных исповеданий.</w:t>
      </w:r>
    </w:p>
    <w:p>
      <w:pPr>
        <w:pStyle w:val="ListBullet"/>
      </w:pPr>
      <w:r>
        <w:t>Представительство было сословным и имущественным; отдельные положения содержали дискриминационные исключения, несовместимые с современным равенством.</w:t>
      </w:r>
    </w:p>
    <w:p>
      <w:pPr>
        <w:pStyle w:val="Heading2"/>
        <w:spacing w:before="240" w:after="120"/>
      </w:pPr>
      <w:r>
        <w:t>3.4. Применимость к Новому Укладу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285B8F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Принять</w:t>
            </w:r>
          </w:p>
        </w:tc>
        <w:tc>
          <w:tcPr>
            <w:tcW w:type="dxa" w:w="3360"/>
            <w:shd w:fill="285B8F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Адаптировать</w:t>
            </w:r>
          </w:p>
        </w:tc>
        <w:tc>
          <w:tcPr>
            <w:tcW w:type="dxa" w:w="3360"/>
            <w:shd w:fill="285B8F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Не переносить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Ответственность министров; годовые отчёты; бюджетный контроль; разделение администрации и суда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Региональные представительства и местные нормы — только в современной федеративной и демократической форме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Источник власти в одном лице; сословное и имущественное представительство; религиозная или этническая дискриминация</w:t>
            </w:r>
          </w:p>
        </w:tc>
      </w:tr>
    </w:tbl>
    <w:p>
      <w:pPr>
        <w:pStyle w:val="Heading1"/>
        <w:spacing w:before="240" w:after="120"/>
      </w:pPr>
      <w:r>
        <w:t>4. Свод законов Российской империи и Основные законы 1906 года</w:t>
      </w:r>
    </w:p>
    <w:p>
      <w:pPr>
        <w:pStyle w:val="Heading2"/>
        <w:spacing w:before="240" w:after="120"/>
      </w:pPr>
      <w:r>
        <w:t>4.1. Свод как технология государства</w:t>
      </w:r>
    </w:p>
    <w:p>
      <w:r>
        <w:t>Свод законов был систематизированным собранием действующего права: 15 томов, около 42 тысяч статей, восемь крупных разрядов. Он был объявлен действующим с января 1835 года. Его ключевая ценность — перевод разрозненного массива актов в отраслевую систему, где норма имеет место, номер, связь с источником и понятную область действия.</w:t>
      </w:r>
    </w:p>
    <w:p>
      <w:pPr>
        <w:pStyle w:val="ListBullet"/>
      </w:pPr>
      <w:r>
        <w:t>единая государственная кодификация вместо ведомственных правовых островов;</w:t>
      </w:r>
    </w:p>
    <w:p>
      <w:pPr>
        <w:pStyle w:val="ListBullet"/>
      </w:pPr>
      <w:r>
        <w:t>отраслевое распределение норм и регулярные продолжения/обновления;</w:t>
      </w:r>
    </w:p>
    <w:p>
      <w:pPr>
        <w:pStyle w:val="ListBullet"/>
      </w:pPr>
      <w:r>
        <w:t>соединение основ государственного строя, управления, гражданского, хозяйственного и уголовного права;</w:t>
      </w:r>
    </w:p>
    <w:p>
      <w:pPr>
        <w:pStyle w:val="ListBullet"/>
      </w:pPr>
      <w:r>
        <w:t>повышение доступности и сопоставимости права для управления и суда.</w:t>
      </w:r>
    </w:p>
    <w:p>
      <w:pPr>
        <w:pStyle w:val="Heading2"/>
        <w:spacing w:before="240" w:after="120"/>
      </w:pPr>
      <w:r>
        <w:t>4.2. Основные государственные законы 1906 года</w:t>
      </w:r>
    </w:p>
    <w:p>
      <w:r>
        <w:t>Редакция 1906 года стала конституционным ядром поздней империи. Верховная власть императора сохранялась, однако законодательство осуществлялось совместно с Государственным советом и Государственной думой: новый закон требовал одобрения палат и утверждения императора.</w:t>
      </w:r>
    </w:p>
    <w:p>
      <w:pPr>
        <w:pStyle w:val="ListBullet"/>
      </w:pPr>
      <w:r>
        <w:t>двухпалатное представительство и формальный законодательный процесс;</w:t>
      </w:r>
    </w:p>
    <w:p>
      <w:pPr>
        <w:pStyle w:val="ListBullet"/>
      </w:pPr>
      <w:r>
        <w:t>закрепление гражданских свобод и неприкосновенности личности, жилища и собственности — в пределах закона;</w:t>
      </w:r>
    </w:p>
    <w:p>
      <w:pPr>
        <w:pStyle w:val="ListBullet"/>
      </w:pPr>
      <w:r>
        <w:t>Совет министров как отдельный управленческий контур;</w:t>
      </w:r>
    </w:p>
    <w:p>
      <w:pPr>
        <w:pStyle w:val="ListBullet"/>
      </w:pPr>
      <w:r>
        <w:t>особый порядок изменения Основных законов, инициируемый императором.</w:t>
      </w:r>
    </w:p>
    <w:p>
      <w:pPr>
        <w:pStyle w:val="Heading2"/>
        <w:spacing w:before="240" w:after="120"/>
      </w:pPr>
      <w:r>
        <w:t>4.3. Применимость к Новому Укладу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B18A3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Принять</w:t>
            </w:r>
          </w:p>
        </w:tc>
        <w:tc>
          <w:tcPr>
            <w:tcW w:type="dxa" w:w="3360"/>
            <w:shd w:fill="B18A3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Адаптировать</w:t>
            </w:r>
          </w:p>
        </w:tc>
        <w:tc>
          <w:tcPr>
            <w:tcW w:type="dxa" w:w="3360"/>
            <w:shd w:fill="B18A3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Не переносить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Единый Свод; иерархия норм; нумерация и прослеживаемость; двухпалатное рассмотрение сложных решений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Сильный координирующий центр — при парламентском, судебном и общественном контроле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Неограниченные прерогативы главы государства; сословность; права, зависимые только от обычного закона без конституционного контроля</w:t>
            </w:r>
          </w:p>
        </w:tc>
      </w:tr>
    </w:tbl>
    <w:p>
      <w:pPr>
        <w:pStyle w:val="Heading1"/>
        <w:spacing w:before="240" w:after="120"/>
      </w:pPr>
      <w:r>
        <w:t>5. Конституция СССР 1936 года</w:t>
      </w:r>
    </w:p>
    <w:p>
      <w:pPr>
        <w:pStyle w:val="Heading2"/>
        <w:spacing w:before="240" w:after="120"/>
      </w:pPr>
      <w:r>
        <w:t>5.1. Архитектура власти и федерации</w:t>
      </w:r>
    </w:p>
    <w:p>
      <w:pPr>
        <w:pStyle w:val="ListBullet"/>
      </w:pPr>
      <w:r>
        <w:t>Власть провозглашалась принадлежащей трудящимся города и деревни через Советы депутатов трудящихся.</w:t>
      </w:r>
    </w:p>
    <w:p>
      <w:pPr>
        <w:pStyle w:val="ListBullet"/>
      </w:pPr>
      <w:r>
        <w:t>СССР оформлялся как союзное федеративное государство с системой союзных и республиканских органов.</w:t>
      </w:r>
    </w:p>
    <w:p>
      <w:pPr>
        <w:pStyle w:val="ListBullet"/>
      </w:pPr>
      <w:r>
        <w:t>Высшим органом государственной власти являлся Верховный Совет СССР; местные Советы руководили местным хозяйственным и культурным строительством и утверждали бюджеты.</w:t>
      </w:r>
    </w:p>
    <w:p>
      <w:pPr>
        <w:pStyle w:val="ListBullet"/>
      </w:pPr>
      <w:r>
        <w:t>Конституция содержала отдельные главы об управлении, суде, прокуратуре, правах граждан и избирательной системе.</w:t>
      </w:r>
    </w:p>
    <w:p>
      <w:pPr>
        <w:pStyle w:val="Heading2"/>
        <w:spacing w:before="240" w:after="120"/>
      </w:pPr>
      <w:r>
        <w:t>5.2. Экономическая и социальная модель</w:t>
      </w:r>
    </w:p>
    <w:p>
      <w:pPr>
        <w:pStyle w:val="ListBullet"/>
      </w:pPr>
      <w:r>
        <w:t>Экономическую основу составляли социалистическая система хозяйства и социалистическая собственность на основные средства производства.</w:t>
      </w:r>
    </w:p>
    <w:p>
      <w:pPr>
        <w:pStyle w:val="ListBullet"/>
      </w:pPr>
      <w:r>
        <w:t>Признавались государственная и кооперативно-колхозная формы собственности; допускалось мелкое частное хозяйство, основанное на личном труде и без эксплуатации чужого труда.</w:t>
      </w:r>
    </w:p>
    <w:p>
      <w:pPr>
        <w:pStyle w:val="ListBullet"/>
      </w:pPr>
      <w:r>
        <w:t>Хозяйственная жизнь определялась государственным народнохозяйственным планом.</w:t>
      </w:r>
    </w:p>
    <w:p>
      <w:pPr>
        <w:pStyle w:val="ListBullet"/>
      </w:pPr>
      <w:r>
        <w:t>Закреплялись права на труд, отдых, материальное обеспечение и образование; права связывались с материальными гарантиями государства.</w:t>
      </w:r>
    </w:p>
    <w:p>
      <w:pPr>
        <w:pStyle w:val="Heading2"/>
        <w:spacing w:before="240" w:after="120"/>
      </w:pPr>
      <w:r>
        <w:t>5.3. Системные ограничения</w:t>
      </w:r>
    </w:p>
    <w:p>
      <w:pPr>
        <w:pStyle w:val="ListBullet"/>
      </w:pPr>
      <w:r>
        <w:t>Руководящая роль Коммунистической партии формировала политическую и идеологическую монополию.</w:t>
      </w:r>
    </w:p>
    <w:p>
      <w:pPr>
        <w:pStyle w:val="ListBullet"/>
      </w:pPr>
      <w:r>
        <w:t>Советская модель не использовала современное разделение властей и независимый конституционный контроль.</w:t>
      </w:r>
    </w:p>
    <w:p>
      <w:pPr>
        <w:pStyle w:val="ListBullet"/>
      </w:pPr>
      <w:r>
        <w:t>Преобладание государственной собственности ограничивало экономический плюрализм.</w:t>
      </w:r>
    </w:p>
    <w:p>
      <w:pPr>
        <w:pStyle w:val="ListBullet"/>
      </w:pPr>
      <w:r>
        <w:t>Нормативные социальные права необходимо отличать от качества их фактической реализации в конкретные периоды.</w:t>
      </w:r>
    </w:p>
    <w:p>
      <w:pPr>
        <w:pStyle w:val="Heading2"/>
        <w:spacing w:before="240" w:after="120"/>
      </w:pPr>
      <w:r>
        <w:t>5.4. Применимость к Новому Укладу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4E7D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Принять</w:t>
            </w:r>
          </w:p>
        </w:tc>
        <w:tc>
          <w:tcPr>
            <w:tcW w:type="dxa" w:w="3360"/>
            <w:shd w:fill="4E7D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Адаптировать</w:t>
            </w:r>
          </w:p>
        </w:tc>
        <w:tc>
          <w:tcPr>
            <w:tcW w:type="dxa" w:w="3360"/>
            <w:shd w:fill="4E7D5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Не переносить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Долгосрочный план; социальные права; общественные и кооперативные фонды; ориентация на труд, науку и инфраструктуру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Планирование сделать стратегическим, адаптивным и проверяемым; сочетать с частной и иной собственностью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Однопартийную монополию; обязательную идеологию; подчинение права политическому центру; отказ от разделения властей</w:t>
            </w:r>
          </w:p>
        </w:tc>
      </w:tr>
    </w:tbl>
    <w:p>
      <w:pPr>
        <w:pStyle w:val="Heading1"/>
        <w:spacing w:before="240" w:after="120"/>
      </w:pPr>
      <w:r>
        <w:t>6. Действующая Конституция Российской Федерации</w:t>
      </w:r>
    </w:p>
    <w:p>
      <w:pPr>
        <w:pStyle w:val="Heading2"/>
        <w:spacing w:before="240" w:after="120"/>
      </w:pPr>
      <w:r>
        <w:t>6.1. Основные опоры</w:t>
      </w:r>
    </w:p>
    <w:p>
      <w:pPr>
        <w:pStyle w:val="ListBullet"/>
      </w:pPr>
      <w:r>
        <w:t>Носитель суверенитета и единственный источник власти — многонациональный народ; высшие формы прямой власти — референдум и свободные выборы.</w:t>
      </w:r>
    </w:p>
    <w:p>
      <w:pPr>
        <w:pStyle w:val="ListBullet"/>
      </w:pPr>
      <w:r>
        <w:t>Человек, его права и свободы признаются высшей ценностью; права имеют прямое действие и судебную защиту.</w:t>
      </w:r>
    </w:p>
    <w:p>
      <w:pPr>
        <w:pStyle w:val="ListBullet"/>
      </w:pPr>
      <w:r>
        <w:t>Россия является демократическим федеративным правовым государством с республиканской формой правления и социальным государством.</w:t>
      </w:r>
    </w:p>
    <w:p>
      <w:pPr>
        <w:pStyle w:val="ListBullet"/>
      </w:pPr>
      <w:r>
        <w:t>Государственная власть строится на разделении законодательной, исполнительной и судебной ветвей.</w:t>
      </w:r>
    </w:p>
    <w:p>
      <w:pPr>
        <w:pStyle w:val="ListBullet"/>
      </w:pPr>
      <w:r>
        <w:t>Признаются идеологическое и политическое многообразие; государственная или обязательная идеология запрещена.</w:t>
      </w:r>
    </w:p>
    <w:p>
      <w:pPr>
        <w:pStyle w:val="ListBullet"/>
      </w:pPr>
      <w:r>
        <w:t>Гарантируются единство экономического пространства и равная защита частной, государственной, муниципальной и иных форм собственности.</w:t>
      </w:r>
    </w:p>
    <w:p>
      <w:pPr>
        <w:pStyle w:val="ListBullet"/>
      </w:pPr>
      <w:r>
        <w:t>Конституция закрепляет устойчивый экономический рост, уважение человека труда, социальное партнёрство и солидарность.</w:t>
      </w:r>
    </w:p>
    <w:p>
      <w:pPr>
        <w:pStyle w:val="Heading2"/>
        <w:spacing w:before="240" w:after="120"/>
      </w:pPr>
      <w:r>
        <w:t>6.2. Потенциал для стратегической модернизации</w:t>
      </w:r>
    </w:p>
    <w:p>
      <w:r>
        <w:t>Большинство предлагаемых инструментов Нового Уклада можно запустить без замены Конституции: посредством федеральных законов, государственных информационных систем, стратегических документов, бюджетных и бухгалтерских стандартов, кооперативных механизмов, общественных советов и пилотных проектов.</w:t>
      </w:r>
    </w:p>
    <w:p>
      <w:pPr>
        <w:pStyle w:val="ListBullet"/>
      </w:pPr>
      <w:r>
        <w:t>Цифровой Свод законов и Метареестр не требуют смены источника власти — они повышают доступность и связанность права.</w:t>
      </w:r>
    </w:p>
    <w:p>
      <w:pPr>
        <w:pStyle w:val="ListBullet"/>
      </w:pPr>
      <w:r>
        <w:t>Государственный Конструктор и 19 балансов могут действовать как система стратегического и индикативного планирования.</w:t>
      </w:r>
    </w:p>
    <w:p>
      <w:pPr>
        <w:pStyle w:val="ListBullet"/>
      </w:pPr>
      <w:r>
        <w:t>Живой Баланс может дополнять, но не подменять обязательную бухгалтерскую, бюджетную и статистическую отчётность.</w:t>
      </w:r>
    </w:p>
    <w:p>
      <w:pPr>
        <w:pStyle w:val="ListBullet"/>
      </w:pPr>
      <w:r>
        <w:t>Ассамблея народов мира может быть общественно-дипломатической и экспертной платформой, не заменяющей конституционные органы.</w:t>
      </w:r>
    </w:p>
    <w:p>
      <w:pPr>
        <w:pStyle w:val="ListBullet"/>
      </w:pPr>
      <w:r>
        <w:t>Духовная Культура может развиваться как свободная культурная ценность, но не как обязательная государственная идеология.</w:t>
      </w:r>
    </w:p>
    <w:p>
      <w:pPr>
        <w:pStyle w:val="Heading2"/>
        <w:spacing w:before="240" w:after="120"/>
      </w:pPr>
      <w:r>
        <w:t>6.3. Прямые правовые ограничения для отдельных идей ЕГ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9B4B4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Идея</w:t>
            </w:r>
          </w:p>
        </w:tc>
        <w:tc>
          <w:tcPr>
            <w:tcW w:type="dxa" w:w="3360"/>
            <w:shd w:fill="9B4B4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Конституционное ограничение</w:t>
            </w:r>
          </w:p>
        </w:tc>
        <w:tc>
          <w:tcPr>
            <w:tcW w:type="dxa" w:w="3360"/>
            <w:shd w:fill="9B4B4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Допустимая конструкция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Государственная идеология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Статья 13 запрещает государственную или обязательную идеологию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Формулировать общие ценности через Конституцию, культуру, образование и добровольное участие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«Человек — эмиссионный центр»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Статья 75 относит денежную эмиссию исключительно к Банку России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Использовать как метафору учёта создаваемой ценности, персональных фондов и цифровых прав, но не выпуск альтернативных денег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Планета как одно государство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Народный суверенитет, государственная целостность и международные процедуры обязательны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Начинать с договорной кооперации, Ассамблеи, стандартов и совместных программ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Активы СССР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Статья 67.1 закрепляет правопреемство/правопродолжательство в определённых отношениях, включая активы за рубежом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Проводить юридическую инвентаризацию по каждому активу и юрисдикции; не считать статью автоматическим титулом на любой заявленный актив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Изменение основ строя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Главы 1, 2 и 9 пересматриваются только по процедуре статьи 135; главы 3–8 — по статье 136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Сначала законы и пилоты; конституционные изменения — только при доказанной необходимости и в установленной процедуре</w:t>
            </w:r>
          </w:p>
        </w:tc>
      </w:tr>
    </w:tbl>
    <w:p>
      <w:pPr>
        <w:pStyle w:val="Heading1"/>
        <w:spacing w:before="240" w:after="120"/>
      </w:pPr>
      <w:r>
        <w:t>7. Сравнительные матрицы</w:t>
      </w:r>
    </w:p>
    <w:p>
      <w:pPr>
        <w:pStyle w:val="Heading2"/>
        <w:spacing w:before="240" w:after="120"/>
      </w:pPr>
      <w:r>
        <w:t>7.1. Источник власти и органы государства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Критерий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1820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Свод/1906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1936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РФ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Юридический статус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Проект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Кодификация + Основные законы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Действовавшая Конституция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Действующая Конституция</w:t>
            </w:r>
          </w:p>
        </w:tc>
      </w:tr>
      <w:tr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Источник власти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Монарх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Император; с 1906 — совместное законодательство с палатами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Трудящиеся через Советы; партия — руководящее ядро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Многонациональный народ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Глава государства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Наследственный монарх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Император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Коллегиальная система высших органов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Президент РФ</w:t>
            </w:r>
          </w:p>
        </w:tc>
      </w:tr>
      <w:tr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Законодательство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Монарх + двухпалатный сейм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Император + Государственный совет + Дума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Верховный Совет СССР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Федеральное Собрание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Исполнение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Министры и наместники, назначаемые монархом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Совет министров и министерства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Совнарком и комиссариаты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Правительство РФ</w:t>
            </w:r>
          </w:p>
        </w:tc>
      </w:tr>
      <w:tr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Суд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Заявлена независимость и отделение от администрации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Суды по закону, но в монархической системе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Суды и прокуратура; нет конституционного суда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Независимая судебная власть, Конституционный Суд</w:t>
            </w:r>
          </w:p>
        </w:tc>
      </w:tr>
    </w:tbl>
    <w:p>
      <w:pPr>
        <w:pStyle w:val="Heading2"/>
        <w:spacing w:before="240" w:after="120"/>
      </w:pPr>
      <w:r>
        <w:t>7.2. Права, экономика, планирование и территория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 w:val="true"/>
        </w:trPr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Критерий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1820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Свод/1906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1936</w:t>
            </w:r>
          </w:p>
        </w:tc>
        <w:tc>
          <w:tcPr>
            <w:tcW w:type="dxa" w:w="2016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РФ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Права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Ранние гарантии личной свободы, суда, печати и собственности; сословные ограничения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Гражданские свободы в пределах закона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Социальные и политические права с материальными гарантиями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Широкий каталог прав, прямое действие и судебная защита</w:t>
            </w:r>
          </w:p>
        </w:tc>
      </w:tr>
      <w:tr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Идеология/религия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Господствующая православная вера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Монархическая и конфессиональная основа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Социалистическая идеология и партийное руководство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Идеологическое и религиозное многообразие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Собственность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Сильная защита частной собственности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Частная собственность и сословно-корпоративный порядок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Государственная и кооперативная собственность; личная собственность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Равная защита частной, государственной, муниципальной и иных форм</w:t>
            </w:r>
          </w:p>
        </w:tc>
      </w:tr>
      <w:tr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Планирование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Бюджеты империи и наместничеств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Административно-финансовая кодификация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Государственный народнохозяйственный план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Социальное государство и устойчивый рост; стратегическое планирование — на уровне законов</w:t>
            </w:r>
          </w:p>
        </w:tc>
      </w:tr>
      <w:tr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Территория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Наместничества, губернии, уезды, округа; местные сеймы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Унитарная империя с различными правовыми режимами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Союзная федерация республик</w:t>
            </w:r>
          </w:p>
        </w:tc>
        <w:tc>
          <w:tcPr>
            <w:tcW w:type="dxa" w:w="2016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Федерация субъектов с разграничением полномочий</w:t>
            </w:r>
          </w:p>
        </w:tc>
      </w:tr>
      <w:tr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Изменение основ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Доминирование монарха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Инициатива пересмотра Основных законов у императора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Квалифицированное решение высшего представительного органа</w:t>
            </w:r>
          </w:p>
        </w:tc>
        <w:tc>
          <w:tcPr>
            <w:tcW w:type="dxa" w:w="2016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Разные процедуры для глав 1/2/9 и 3–8</w:t>
            </w:r>
          </w:p>
        </w:tc>
      </w:tr>
    </w:tbl>
    <w:p>
      <w:pPr>
        <w:pStyle w:val="Heading1"/>
        <w:spacing w:before="240" w:after="120"/>
      </w:pPr>
      <w:r>
        <w:t>8. Что можно принять, адаптировать и исключить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2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Источник</w:t>
            </w:r>
          </w:p>
        </w:tc>
        <w:tc>
          <w:tcPr>
            <w:tcW w:type="dxa" w:w="252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Принять</w:t>
            </w:r>
          </w:p>
        </w:tc>
        <w:tc>
          <w:tcPr>
            <w:tcW w:type="dxa" w:w="252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Адаптировать</w:t>
            </w:r>
          </w:p>
        </w:tc>
        <w:tc>
          <w:tcPr>
            <w:tcW w:type="dxa" w:w="252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Исключить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1820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Ответственность министров; годовые отчёты; бюджетное рассмотрение; суд отдельно от администрации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Региональные сеймы → современные советы макрорегионов и общественные палаты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Монархический источник власти; сословность; дискриминационные ограничения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Свод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Кодификация; единая иерархия; прослеживаемость нормы; отраслевые тома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Обновления → цифровые версии, граф связей, машиночитаемые нормы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Сословная система; ведомственная закрытость; чрезмерная централизация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1936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Долгосрочный план; социальные права; общественная и кооперативная собственность; наука и труд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Директивный план → адаптивный стратегический план с обратной связью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Партийная монополия; обязательная идеология; отсутствие разделения властей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Конституция РФ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Народный суверенитет; права; федерализм; плюрализм; разделение властей; судебная защита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Усилить план–факт–результат, кодификацию, ответственность и социальные механизмы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Не исключать: это правовой фундамент предлагаемой модернизации</w:t>
            </w:r>
          </w:p>
        </w:tc>
      </w:tr>
    </w:tbl>
    <w:p>
      <w:pPr>
        <w:pStyle w:val="Heading1"/>
        <w:spacing w:before="240" w:after="120"/>
      </w:pPr>
      <w:r>
        <w:t>9. Варианты решения и экспертная оценка</w:t>
      </w:r>
    </w:p>
    <w:p>
      <w:r>
        <w:t>Оценка ниже является аналитической, а не юридической экспертизой. Вес критериев: правовая преемственность — 25%; права и плюрализм — 15%; способность к планированию — 15%; качество кодификации — 15%; социальная направленность — 15%; реализуемость — 15%.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Вариант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Содержание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Баллы / 5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Вывод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A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Буквальная реставрация имперской модели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2,05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Историческая символика, но несовместимость с народным суверенитетом и современным равенством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B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Возврат к модели Конституции 1936 года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2,65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Сильное планирование и социальные права, но конфликт с плюрализмом и смешанной экономикой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C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Сохранение действующей модели без системной модернизации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3,80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Высокая правовая стабильность, но сохраняется разрыв между стратегией, учётом и результатом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D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Преемственная модернизация внутри действующей Конституции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4,85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Лучшее сочетание законности, прав, планирования, кодификации и осуществимости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E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Немедленное принятие новой Конституции ЕГ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3,50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Возможность системного проекта, но высокий риск, сложность и отсутствие предварительно проверенной модели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6035040" cy="290274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re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9027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Note"/>
        <w:jc w:val="center"/>
      </w:pPr>
      <w:r>
        <w:t>Рисунок 2. Экспертная матрица выбора. Баллы отражают указанную систему весов.</w:t>
      </w:r>
    </w:p>
    <w:p>
      <w:pPr>
        <w:pStyle w:val="Heading1"/>
        <w:spacing w:before="240" w:after="120"/>
      </w:pPr>
      <w:r>
        <w:t>10. Рекомендуемая модель преемственной модернизации</w:t>
      </w:r>
    </w:p>
    <w:p>
      <w:r>
        <w:drawing>
          <wp:inline xmlns:a="http://schemas.openxmlformats.org/drawingml/2006/main" xmlns:pic="http://schemas.openxmlformats.org/drawingml/2006/picture">
            <wp:extent cx="6217920" cy="308491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chitectur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0849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ourceNote"/>
        <w:jc w:val="center"/>
      </w:pPr>
      <w:r>
        <w:t>Рисунок 3. Пятиуровневая архитектура рекомендуемого решения</w:t>
      </w:r>
    </w:p>
    <w:p>
      <w:pPr>
        <w:pStyle w:val="Heading2"/>
        <w:spacing w:before="240" w:after="120"/>
      </w:pPr>
      <w:r>
        <w:t>10.1. Уровень 1 — Конституция</w:t>
      </w:r>
    </w:p>
    <w:p>
      <w:r>
        <w:t>Действующая Конституция сохраняется как источник легитимности, прав и ограничений власти. Концепция ЕГ не должна подменять народный суверенитет, выборы, парламент, суд или федерализм.</w:t>
      </w:r>
    </w:p>
    <w:p>
      <w:pPr>
        <w:pStyle w:val="Heading2"/>
        <w:spacing w:before="240" w:after="120"/>
      </w:pPr>
      <w:r>
        <w:t>10.2. Уровень 2 — Цифровой Свод законов</w:t>
      </w:r>
    </w:p>
    <w:p>
      <w:r>
        <w:t>Современный аналог Свода Сперанского — не новая куча документов, а единая цифровая правовая модель: норма, источник, полномочие, объект регулирования, срок, территория, связанные нормы, показатели исполнения и судебная практика.</w:t>
      </w:r>
    </w:p>
    <w:p>
      <w:pPr>
        <w:pStyle w:val="Heading2"/>
        <w:spacing w:before="240" w:after="120"/>
      </w:pPr>
      <w:r>
        <w:t>10.3. Уровень 3 — Государственный Конструктор</w:t>
      </w:r>
    </w:p>
    <w:p>
      <w:r>
        <w:t>Вводится связанный стратегический контур: цель → показатель → ресурс → ответственное лицо → проект → операция → результат → общественная и судебная проверка. Планирование должно быть долгосрочным, но адаптивным и регулярно пересматриваемым.</w:t>
      </w:r>
    </w:p>
    <w:p>
      <w:pPr>
        <w:pStyle w:val="Heading2"/>
        <w:spacing w:before="240" w:after="120"/>
      </w:pPr>
      <w:r>
        <w:t>10.4. Уровень 4 — Метареестр и Живой Баланс</w:t>
      </w:r>
    </w:p>
    <w:p>
      <w:r>
        <w:t>К финансовому балансу добавляются природный, человеческий, интеллектуальный, культурный, инфраструктурный и социальный контуры. Эти балансы не заменяют денежный учёт и не превращают все ценности в одну цену; они обеспечивают многомерную оценку решений.</w:t>
      </w:r>
    </w:p>
    <w:p>
      <w:pPr>
        <w:pStyle w:val="Heading2"/>
        <w:spacing w:before="240" w:after="120"/>
      </w:pPr>
      <w:r>
        <w:t>10.5. Уровень 5 — ответственность и проверка</w:t>
      </w:r>
    </w:p>
    <w:p>
      <w:pPr>
        <w:pStyle w:val="ListBullet"/>
      </w:pPr>
      <w:r>
        <w:t>министерская и проектная ответственность за план и результат;</w:t>
      </w:r>
    </w:p>
    <w:p>
      <w:pPr>
        <w:pStyle w:val="ListBullet"/>
      </w:pPr>
      <w:r>
        <w:t>парламентский и общественный контроль;</w:t>
      </w:r>
    </w:p>
    <w:p>
      <w:pPr>
        <w:pStyle w:val="ListBullet"/>
      </w:pPr>
      <w:r>
        <w:t>независимый аудит данных и алгоритмов;</w:t>
      </w:r>
    </w:p>
    <w:p>
      <w:pPr>
        <w:pStyle w:val="ListBullet"/>
      </w:pPr>
      <w:r>
        <w:t>судебная защита прав и конституционный контроль;</w:t>
      </w:r>
    </w:p>
    <w:p>
      <w:pPr>
        <w:pStyle w:val="ListBullet"/>
      </w:pPr>
      <w:r>
        <w:t>персональная трассируемость решений без отмены презумпции невиновности и права на защиту.</w:t>
      </w:r>
    </w:p>
    <w:p>
      <w:pPr>
        <w:pStyle w:val="Heading1"/>
        <w:spacing w:before="240" w:after="120"/>
      </w:pPr>
      <w:r>
        <w:t>11. Правовые ограничения и допустимые траектории ЕГ</w:t>
      </w:r>
    </w:p>
    <w:p>
      <w:pPr>
        <w:pStyle w:val="Heading2"/>
        <w:spacing w:before="240" w:after="120"/>
      </w:pPr>
      <w:r>
        <w:t>11.1. Что можно сделать обычным законодательством</w:t>
      </w:r>
    </w:p>
    <w:p>
      <w:pPr>
        <w:pStyle w:val="ListBullet"/>
      </w:pPr>
      <w:r>
        <w:t>создать Цифровой Свод и Метареестр нормативных актов;</w:t>
      </w:r>
    </w:p>
    <w:p>
      <w:pPr>
        <w:pStyle w:val="ListBullet"/>
      </w:pPr>
      <w:r>
        <w:t>утвердить единые классификаторы целей, проектов, показателей и транзакций;</w:t>
      </w:r>
    </w:p>
    <w:p>
      <w:pPr>
        <w:pStyle w:val="ListBullet"/>
      </w:pPr>
      <w:r>
        <w:t>развить стратегическое планирование, государственные программы и связанную отчётность;</w:t>
      </w:r>
    </w:p>
    <w:p>
      <w:pPr>
        <w:pStyle w:val="ListBullet"/>
      </w:pPr>
      <w:r>
        <w:t>ввести экспериментальные Живые Балансы как дополнительные формы управленческой отчётности;</w:t>
      </w:r>
    </w:p>
    <w:p>
      <w:pPr>
        <w:pStyle w:val="ListBullet"/>
      </w:pPr>
      <w:r>
        <w:t>развить кооперативные, паевые, именные и общественные фонды в рамках действующего гражданского и финансового права;</w:t>
      </w:r>
    </w:p>
    <w:p>
      <w:pPr>
        <w:pStyle w:val="ListBullet"/>
      </w:pPr>
      <w:r>
        <w:t>создать научно-экспертные и общественные советы с консультативными полномочиями;</w:t>
      </w:r>
    </w:p>
    <w:p>
      <w:pPr>
        <w:pStyle w:val="ListBullet"/>
      </w:pPr>
      <w:r>
        <w:t>запустить межрегиональные и международные пилоты на основе договоров.</w:t>
      </w:r>
    </w:p>
    <w:p>
      <w:pPr>
        <w:pStyle w:val="Heading2"/>
        <w:spacing w:before="240" w:after="120"/>
      </w:pPr>
      <w:r>
        <w:t>11.2. Когда потребуются поправки к Конституции</w:t>
      </w:r>
    </w:p>
    <w:p>
      <w:r>
        <w:t>Если предполагается изменить систему федеральных органов, перераспределить конституционные полномочия или создать новый орган публичной власти, может потребоваться поправка к главам 3–8 по статье 136. Изменение принципов народного суверенитета, прав человека, идеологического плюрализма или самой процедуры пересмотра относится к главам 1, 2 и 9 и возможно только по статье 135.</w:t>
      </w:r>
    </w:p>
    <w:p>
      <w:pPr>
        <w:pStyle w:val="Heading2"/>
        <w:spacing w:before="240" w:after="120"/>
      </w:pPr>
      <w:r>
        <w:t>11.3. Международное измерение</w:t>
      </w:r>
    </w:p>
    <w:p>
      <w:r>
        <w:t>Планетарный договор и Ассамблея народов мира должны начинаться как договорная и общественно-дипломатическая архитектура: обмен данными, научная кооперация, природные стандарты, защита наследия, совместные фонды и проекты. Переход к наднациональной власти без согласия народов и законных процедур недопустим.</w:t>
      </w:r>
    </w:p>
    <w:p>
      <w:pPr>
        <w:pStyle w:val="Heading1"/>
        <w:spacing w:before="240" w:after="120"/>
      </w:pPr>
      <w:r>
        <w:t>12. Архитектура Цифрового Свода и Живого Баланса</w:t>
      </w:r>
    </w:p>
    <w:p>
      <w:pPr>
        <w:pStyle w:val="Heading2"/>
        <w:spacing w:before="240" w:after="120"/>
      </w:pPr>
      <w:r>
        <w:t>12.1. Паспорт каждой нормы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 w:val="true"/>
        </w:trPr>
        <w:tc>
          <w:tcPr>
            <w:tcW w:type="dxa" w:w="5040"/>
            <w:shd w:fill="285B8F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Поле</w:t>
            </w:r>
          </w:p>
        </w:tc>
        <w:tc>
          <w:tcPr>
            <w:tcW w:type="dxa" w:w="5040"/>
            <w:shd w:fill="285B8F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Содержание</w:t>
            </w:r>
          </w:p>
        </w:tc>
      </w:tr>
      <w:tr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NORM-ID</w:t>
            </w:r>
          </w:p>
        </w:tc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Уникальный идентификатор нормы</w:t>
            </w:r>
          </w:p>
        </w:tc>
      </w:tr>
      <w:tr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Источник</w:t>
            </w:r>
          </w:p>
        </w:tc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Конституция, ФКЗ, федеральный закон, указ, постановление, акт субъекта</w:t>
            </w:r>
          </w:p>
        </w:tc>
      </w:tr>
      <w:tr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Компетенция</w:t>
            </w:r>
          </w:p>
        </w:tc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Кто вправе издать, изменить, исполнить и проверить</w:t>
            </w:r>
          </w:p>
        </w:tc>
      </w:tr>
      <w:tr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Объект</w:t>
            </w:r>
          </w:p>
        </w:tc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Правоотношение, территория, отрасль, субъект</w:t>
            </w:r>
          </w:p>
        </w:tc>
      </w:tr>
      <w:tr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Срок</w:t>
            </w:r>
          </w:p>
        </w:tc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Дата вступления, прекращения, переходные положения</w:t>
            </w:r>
          </w:p>
        </w:tc>
      </w:tr>
      <w:tr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Связи</w:t>
            </w:r>
          </w:p>
        </w:tc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Выше-/нижестоящие нормы, коллизии, судебные позиции</w:t>
            </w:r>
          </w:p>
        </w:tc>
      </w:tr>
      <w:tr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Показатель</w:t>
            </w:r>
          </w:p>
        </w:tc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Как измеряется выполнение и результат</w:t>
            </w:r>
          </w:p>
        </w:tc>
      </w:tr>
      <w:tr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Риск</w:t>
            </w:r>
          </w:p>
        </w:tc>
        <w:tc>
          <w:tcPr>
            <w:tcW w:type="dxa" w:w="504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Права человека, коррупция, данные, бюджет, биосфера</w:t>
            </w:r>
          </w:p>
        </w:tc>
      </w:tr>
      <w:tr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Статус</w:t>
            </w:r>
          </w:p>
        </w:tc>
        <w:tc>
          <w:tcPr>
            <w:tcW w:type="dxa" w:w="504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7"/>
              </w:rPr>
              <w:t>Действует, приостановлена, утратила силу, проект</w:t>
            </w:r>
          </w:p>
        </w:tc>
      </w:tr>
    </w:tbl>
    <w:p>
      <w:pPr>
        <w:pStyle w:val="Heading2"/>
        <w:spacing w:before="240" w:after="120"/>
      </w:pPr>
      <w:r>
        <w:t>12.2. Живой Баланс государства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Контур</w:t>
            </w:r>
          </w:p>
        </w:tc>
        <w:tc>
          <w:tcPr>
            <w:tcW w:type="dxa" w:w="336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Что измеряется</w:t>
            </w:r>
          </w:p>
        </w:tc>
        <w:tc>
          <w:tcPr>
            <w:tcW w:type="dxa" w:w="3360"/>
            <w:shd w:fill="2C7A7B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Предохранитель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Финансовый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Доходы, расходы, источники, активы, обязательства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Аудит и бюджетный контроль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Производственный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Мощности, материалы, загрузка, цепочки кооперации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Конкуренция и технологическая экспертиза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Человеческий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Здоровье, образование, компетенции, демография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Запрет дискриминации и защита данных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Природный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Вода, воздух, почвы, биоразнообразие, восстановление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Научная валидация и экологическая ответственность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Интеллектуальный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РИД/ОИС, знания, лицензии, внедрение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Права авторов и независимая оценка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Культурный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Наследие, языки, архивы, произведения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Свобода творчества и согласие общин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Социальный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Доступность услуг, неравенство, доверие, безопасность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Права, обжалование, открытая методика</w:t>
            </w:r>
          </w:p>
        </w:tc>
      </w:tr>
    </w:tbl>
    <w:p>
      <w:pPr>
        <w:pStyle w:val="Heading1"/>
        <w:spacing w:before="240" w:after="120"/>
      </w:pPr>
      <w:r>
        <w:t>13. Дорожная карта 2026–2035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B18A3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Срок</w:t>
            </w:r>
          </w:p>
        </w:tc>
        <w:tc>
          <w:tcPr>
            <w:tcW w:type="dxa" w:w="3360"/>
            <w:shd w:fill="B18A3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Действия</w:t>
            </w:r>
          </w:p>
        </w:tc>
        <w:tc>
          <w:tcPr>
            <w:tcW w:type="dxa" w:w="3360"/>
            <w:shd w:fill="B18A34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Результат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0–6 месяцев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Научно-экспертный совет; правовой аудит; единая методика; архитектура Цифрового Свода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Утверждённая концепция и реестр источников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6–18 месяцев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Пилот в 3–5 отраслях/регионах; связка план–учёт–отчёт–результат; открытая оценка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Рабочий прототип и измеримые эффекты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18–36 месяцев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Федеральные поправки к законам о планировании, учёте, данных, кооперации и контроле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Нормативный пакет и масштабирование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3–5 лет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Цифровой Свод общегосударственного уровня; 19 балансов; межведомственная интеграция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Единая управленческая модель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5–10 лет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Оценка необходимости точечных поправок к главам 3–8; международные договорные пилоты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Конституционно устойчивое расширение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После 10 лет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Вопрос новой Конституции — только при общественном запросе, доказанной модели и процедуре статьи 135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Легитимное решение, а не скачок в неизвестность</w:t>
            </w:r>
          </w:p>
        </w:tc>
      </w:tr>
    </w:tbl>
    <w:p>
      <w:pPr>
        <w:pStyle w:val="Heading1"/>
        <w:spacing w:before="240" w:after="120"/>
      </w:pPr>
      <w:r>
        <w:t>14. Риски и предохранители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3360"/>
            <w:shd w:fill="9B4B4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Риск</w:t>
            </w:r>
          </w:p>
        </w:tc>
        <w:tc>
          <w:tcPr>
            <w:tcW w:type="dxa" w:w="3360"/>
            <w:shd w:fill="9B4B4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Проявление</w:t>
            </w:r>
          </w:p>
        </w:tc>
        <w:tc>
          <w:tcPr>
            <w:tcW w:type="dxa" w:w="3360"/>
            <w:shd w:fill="9B4B45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6"/>
              </w:rPr>
              <w:t>Предохранитель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Историческая реставрация вместо развития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Попытка перенести институты без учёта прав и общества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Функциональный отбор, правовая экспертиза, пилоты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Обязательная идеология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Конфликт со статьёй 13 и свободой совести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Общие конституционные ценности + мировоззренческий плюрализм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Сверхцентрализация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Подавление регионов и местных инициатив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Федерализм, субсидиарность, местные балансы и участие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Цифровой контроль над человеком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Нарушение частной жизни и дискриминация алгоритмами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Минимизация данных, объяснимость, аудит, суд и право на обжалование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Жёсткий план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Потеря адаптивности и инноваций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Индикативный план, сценарии, регулярная коррекция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Монополия собственности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Снижение инициативы и эффективности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Равная защита форм собственности, конкуренция и кооперация</w:t>
            </w:r>
          </w:p>
        </w:tc>
      </w:tr>
      <w:tr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Подмена закона кодом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Алгоритм начинает определять право</w:t>
            </w:r>
          </w:p>
        </w:tc>
        <w:tc>
          <w:tcPr>
            <w:tcW w:type="dxa" w:w="336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Код исполняет норму, но не заменяет закон и судебное толкование</w:t>
            </w:r>
          </w:p>
        </w:tc>
      </w:tr>
      <w:tr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Конституционный обход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Потеря легитимности</w:t>
            </w:r>
          </w:p>
        </w:tc>
        <w:tc>
          <w:tcPr>
            <w:tcW w:type="dxa" w:w="336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6"/>
              </w:rPr>
              <w:t>Строгое соблюдение статей 135 и 136</w:t>
            </w:r>
          </w:p>
        </w:tc>
      </w:tr>
    </w:tbl>
    <w:p>
      <w:pPr>
        <w:pStyle w:val="Heading1"/>
        <w:spacing w:before="240" w:after="120"/>
      </w:pPr>
      <w:r>
        <w:t>15. Решение, предлагаемое к принятию</w:t>
      </w:r>
    </w:p>
    <w:p>
      <w:pPr>
        <w:pStyle w:val="ListNumber"/>
      </w:pPr>
      <w:r>
        <w:t>Признать действующую Конституцию Российской Федерации обязательным правовым фундаментом проекта Нового Уклада.</w:t>
      </w:r>
    </w:p>
    <w:p>
      <w:pPr>
        <w:pStyle w:val="ListNumber"/>
      </w:pPr>
      <w:r>
        <w:t>Использовать Уставную грамоту 1820 года, Свод законов и Конституцию 1936 года как источники отдельных институтов, но отказаться от их буквальной реставрации.</w:t>
      </w:r>
    </w:p>
    <w:p>
      <w:pPr>
        <w:pStyle w:val="ListNumber"/>
      </w:pPr>
      <w:r>
        <w:t>Разработать Концепцию Цифрового Свода законов Российской Федерации и графа правовых норм.</w:t>
      </w:r>
    </w:p>
    <w:p>
      <w:pPr>
        <w:pStyle w:val="ListNumber"/>
      </w:pPr>
      <w:r>
        <w:t>Создать Государственный Конструктор стратегических решений, связанный с бюджетом, учётом, проектами и результатами.</w:t>
      </w:r>
    </w:p>
    <w:p>
      <w:pPr>
        <w:pStyle w:val="ListNumber"/>
      </w:pPr>
      <w:r>
        <w:t>Утвердить экспериментальную методику 19 связанных балансов и Живого Баланса.</w:t>
      </w:r>
    </w:p>
    <w:p>
      <w:pPr>
        <w:pStyle w:val="ListNumber"/>
      </w:pPr>
      <w:r>
        <w:t>Ввести персональную ответственность руководителей программ за отклонения плана, качество данных и достигнутый общественный эффект.</w:t>
      </w:r>
    </w:p>
    <w:p>
      <w:pPr>
        <w:pStyle w:val="ListNumber"/>
      </w:pPr>
      <w:r>
        <w:t>Развивать государственную, частную, муниципальную, кооперативную, паевую и иные законные формы собственности на равной правовой основе.</w:t>
      </w:r>
    </w:p>
    <w:p>
      <w:pPr>
        <w:pStyle w:val="ListNumber"/>
      </w:pPr>
      <w:r>
        <w:t>Обеспечить независимую судебную, аудиторскую, научную и общественную проверку системы.</w:t>
      </w:r>
    </w:p>
    <w:p>
      <w:pPr>
        <w:pStyle w:val="ListNumber"/>
      </w:pPr>
      <w:r>
        <w:t>Развивать Ассамблею народов мира как консультативную и договорную платформу, не подменяющую конституционное народовластие.</w:t>
      </w:r>
    </w:p>
    <w:p>
      <w:pPr>
        <w:pStyle w:val="ListNumber"/>
      </w:pPr>
      <w:r>
        <w:t>Решение о конституционных поправках принимать только после пилотов, оценки эффекта, общественного обсуждения и по процедурам статей 135–136.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E8F3EA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2F6B3B"/>
                <w:sz w:val="22"/>
              </w:rPr>
              <w:t>Итоговая формула</w:t>
              <w:br/>
            </w:r>
            <w:r>
              <w:rPr>
                <w:color w:val="202A35"/>
                <w:sz w:val="21"/>
              </w:rPr>
              <w:t>Не «назад в 1820 или 1936 год», а вперёд через соединение: права и народный суверенитет действующей Конституции + кодификационная дисциплина Свода + ответственность и региональное представительство проекта 1820 года + социальное содержание и планирование 1936 года.</w:t>
            </w:r>
          </w:p>
        </w:tc>
      </w:tr>
    </w:tbl>
    <w:p>
      <w:pPr>
        <w:spacing w:after="0"/>
      </w:pPr>
    </w:p>
    <w:p>
      <w:pPr>
        <w:pStyle w:val="Heading1"/>
        <w:spacing w:before="240" w:after="120"/>
      </w:pPr>
      <w:r>
        <w:t>Приложение. 19 направлений Нового Уклада и правовые опоры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Код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Направление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Источники</w:t>
            </w:r>
          </w:p>
        </w:tc>
        <w:tc>
          <w:tcPr>
            <w:tcW w:type="dxa" w:w="2520"/>
            <w:shd w:fill="142A4A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r>
              <w:rPr>
                <w:rFonts w:ascii="Arial" w:hAnsi="Arial"/>
                <w:b/>
                <w:color w:val="FFFFFF"/>
                <w:sz w:val="15"/>
              </w:rPr>
              <w:t>Правовой принцип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N01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Государственное конструирование и 19 балансов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Свод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Законность, кодификация, ответственность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N02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Человек, демография и развитие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+ 1936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Права личности и социальные гарантии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N03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Семья, общины и социальные программы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+ 1936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Социальное государство и солидарность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N04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Здоровье, реабилитация и долголетие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+ 1936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Право на охрану здоровья и планирование инфраструктуры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N05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Образование, кадры и Города Знания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+ 1936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Свобода образования, доступность и кадровый план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N06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Наука, НИОКР и интеллектуальные права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Свод + 1936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Права авторов, кодификация, долгосрочное финансирование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N07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Духовная Культура и наследие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+ 1820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Свобода совести, культура, историческая преемственность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N08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Промышленность и материаловедение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1936 + Конституция РФ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Стратегический план при смешанной собственности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N09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Энергетика и тарифы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1936 + Конституция РФ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Баланс безопасности, рынка и общественного интереса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N10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Сельское хозяйство, продовольствие и вода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1936 + Конституция РФ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Кооперация, земля, устойчивость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N11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Природа, Биосфера и климат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Право на благоприятную среду и природный баланс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N12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Строительство, жильё и города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1820 + 1936 + Конституция РФ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Региональное участие, планирование, право на жильё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N13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Транспорт и коридоры развития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Свод + 1936 + Конституция РФ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Единые стандарты и долгосрочная инфраструктура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N14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ИИ, данные и вычислительный ГРИД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Свод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Права, безопасность, кодификация данных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N15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Финансы, умные деньги и ЭФС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Рубль и Банк России; дополнительные учётные контуры без альтернативной эмиссии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N16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Иные права собственности, паи и трасты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Свод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Равная защита форм собственности и договорность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N17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Безопасность и управление рисками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Все источники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Сильная координация под правовым и судебным контролем</w:t>
            </w:r>
          </w:p>
        </w:tc>
      </w:tr>
      <w:tr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N18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Международная кооперация и Ассамблея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+ 1820</w:t>
            </w:r>
          </w:p>
        </w:tc>
        <w:tc>
          <w:tcPr>
            <w:tcW w:type="dxa" w:w="2520"/>
            <w:vAlign w:val="center"/>
            <w:shd w:fill="F2F5F8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Народная дипломатия, договоры, представительство</w:t>
            </w:r>
          </w:p>
        </w:tc>
      </w:tr>
      <w:tr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N19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Космос и Галактическая Культура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Конституция РФ + 1936</w:t>
            </w:r>
          </w:p>
        </w:tc>
        <w:tc>
          <w:tcPr>
            <w:tcW w:type="dxa" w:w="2520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sz w:val="15"/>
              </w:rPr>
              <w:t>Наука, международное сотрудничество, долгий горизонт</w:t>
            </w:r>
          </w:p>
        </w:tc>
      </w:tr>
    </w:tbl>
    <w:p>
      <w:pPr>
        <w:pStyle w:val="Heading1"/>
        <w:spacing w:before="240" w:after="120"/>
      </w:pPr>
      <w:r>
        <w:t>Источники и нормативные тексты</w:t>
      </w:r>
    </w:p>
    <w:p>
      <w:pPr>
        <w:pStyle w:val="SourceNote"/>
      </w:pPr>
      <w:r>
        <w:t xml:space="preserve">1. Президентская библиотека. Государственная уставная грамота Российской империи: архивное описание реформаторского проекта, разработанного к 1820 году. </w:t>
      </w:r>
      <w:hyperlink r:id="rId14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2. ГАРАНТ. Государственная уставная грамота Российской империи Н. Н. Новосильцева: полный текст. </w:t>
      </w:r>
      <w:hyperlink r:id="rId15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3. Президентская библиотека. «Свод законов Российской империи» объявлен действующим источником права. </w:t>
      </w:r>
      <w:hyperlink r:id="rId16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4. Президентская библиотека. Утверждены Основные государственные законы Российской империи, 1906. </w:t>
      </w:r>
      <w:hyperlink r:id="rId17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5. ГАРАНТ. Высочайше утверждённые Основные государственные законы, 1906. </w:t>
      </w:r>
      <w:hyperlink r:id="rId18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6. ГАРАНТ. Конституция (Основной закон) СССР в редакции от 5 декабря 1936 года. </w:t>
      </w:r>
      <w:hyperlink r:id="rId19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7. Официальное опубликование правовых актов. Указ Президента РФ от 05.10.2022 № 710 об опубликовании текста Конституции с изменениями. </w:t>
      </w:r>
      <w:hyperlink r:id="rId20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8. КонсультантПлюс. Действующий текст Конституции Российской Федерации. </w:t>
      </w:r>
      <w:hyperlink r:id="rId21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 xml:space="preserve">9. Конституция РФ: статьи 3, 10, 13, 67.1, 75, 75.1, 135 и 136 — использованы для анализа ограничений и процедур. </w:t>
      </w:r>
      <w:hyperlink r:id="rId21">
        <w:r>
          <w:rPr>
            <w:color w:val="285B8F"/>
            <w:u w:val="single"/>
          </w:rPr>
          <w:t>Источник</w:t>
        </w:r>
      </w:hyperlink>
    </w:p>
    <w:p>
      <w:pPr>
        <w:pStyle w:val="SourceNote"/>
      </w:pPr>
      <w:r>
        <w:t>Дата обращения к электронным источникам: 2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B7280"/>
        <w:sz w:val="16"/>
      </w:rPr>
      <w:t xml:space="preserve">Сентябрь 2026  |  </w:t>
    </w:r>
    <w:r>
      <w:rPr>
        <w:rFonts w:ascii="Arial" w:hAnsi="Arial"/>
        <w:color w:val="6B7280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color w:val="6B7280"/>
        <w:sz w:val="16"/>
      </w:rPr>
      <w:t>Единое государство — Новый Уклад | Сравнительный государственно-правовой анализ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2A4A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85B8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C7A7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42A4A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</w:pPr>
    <w:rPr>
      <w:rFonts w:asciiTheme="majorHAnsi" w:eastAsiaTheme="majorEastAsia" w:hAnsiTheme="majorHAnsi" w:cstheme="majorBidi" w:ascii="Arial" w:hAnsi="Arial"/>
      <w:b/>
      <w:i/>
      <w:iCs/>
      <w:color w:val="6B728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pPr>
      <w:spacing w:after="40"/>
    </w:pPr>
    <w:rPr>
      <w:rFonts w:ascii="Arial" w:hAnsi="Arial"/>
      <w:color w:val="6B728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www.prlib.ru/item/797542" TargetMode="External"/><Relationship Id="rId15" Type="http://schemas.openxmlformats.org/officeDocument/2006/relationships/hyperlink" Target="https://constitution.garant.ru/history/act1600-1918/31000/" TargetMode="External"/><Relationship Id="rId16" Type="http://schemas.openxmlformats.org/officeDocument/2006/relationships/hyperlink" Target="https://www.prlib.ru/history/619022" TargetMode="External"/><Relationship Id="rId17" Type="http://schemas.openxmlformats.org/officeDocument/2006/relationships/hyperlink" Target="https://www.prlib.ru/history/619222" TargetMode="External"/><Relationship Id="rId18" Type="http://schemas.openxmlformats.org/officeDocument/2006/relationships/hyperlink" Target="https://constitution.garant.ru/history/act1600-1918/5207/" TargetMode="External"/><Relationship Id="rId19" Type="http://schemas.openxmlformats.org/officeDocument/2006/relationships/hyperlink" Target="https://constitution.garant.ru/history/ussr-rsfsr/1936/red_1936/3958676/" TargetMode="External"/><Relationship Id="rId20" Type="http://schemas.openxmlformats.org/officeDocument/2006/relationships/hyperlink" Target="https://publication.pravo.gov.ru/document/0001202210050021" TargetMode="External"/><Relationship Id="rId21" Type="http://schemas.openxmlformats.org/officeDocument/2006/relationships/hyperlink" Target="https://www.consultant.ru/document/cons_doc_LAW_2839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