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center"/>
      </w:pPr>
      <w:r>
        <w:rPr>
          <w:rFonts w:ascii="Liberation Sans" w:hAnsi="Liberation Sans" w:eastAsia="Liberation Sans"/>
          <w:b/>
          <w:color w:val="123B73"/>
          <w:sz w:val="68"/>
        </w:rPr>
        <w:t>ГИПЕРГРАФЫ ИМАШ РАН</w:t>
      </w:r>
    </w:p>
    <w:p>
      <w:pPr>
        <w:jc w:val="center"/>
      </w:pPr>
      <w:r>
        <w:rPr>
          <w:rFonts w:ascii="Liberation Sans" w:hAnsi="Liberation Sans" w:eastAsia="Liberation Sans"/>
          <w:b/>
          <w:color w:val="1D6FC0"/>
          <w:sz w:val="44"/>
        </w:rPr>
        <w:t>ВНЕШНИЕ КОНТУРЫ И ЕДИНЫЙ КОНТУР РЕЗУЛЬТАТА</w:t>
      </w:r>
    </w:p>
    <w:p>
      <w:pPr>
        <w:jc w:val="center"/>
      </w:pPr>
      <w:r>
        <w:rPr>
          <w:rFonts w:ascii="Liberation Sans" w:hAnsi="Liberation Sans" w:eastAsia="Liberation Sans"/>
          <w:color w:val="66758A"/>
          <w:sz w:val="26"/>
        </w:rPr>
        <w:t>Проектная модель перехода от административной схемы к институту-конструктору полного цикла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7632000" cy="4295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нешние_контуры_имаш_ран_гиперграф_кооперации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32000" cy="4295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20" w:line="259" w:lineRule="auto"/>
        <w:jc w:val="center"/>
      </w:pPr>
      <w:r>
        <w:rPr>
          <w:rFonts w:ascii="Liberation Sans" w:hAnsi="Liberation Sans" w:eastAsia="Liberation Sans"/>
          <w:b/>
          <w:color w:val="C8465B"/>
          <w:sz w:val="17"/>
        </w:rPr>
        <w:t>Рабочий документ для обсуждения. Не является утверждённой организационной структурой ИМАШ РАН.</w:t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Москва • 2026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СТАТУС И НАЗНАЧЕНИЕ ДОКУМЕНТА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Как читать предложенную модель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C8465B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CECF0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Статус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Настоящий материал — проектная аналитическая модель. Он развивает представленную действующую структуру института, но не заменяет официальные положения, штатное расписание и решения учредителя.</w:t>
            </w:r>
          </w:p>
        </w:tc>
      </w:tr>
    </w:tbl>
    <w:p>
      <w:pPr>
        <w:spacing w:after="0"/>
      </w:pP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Цель</w:t>
      </w:r>
    </w:p>
    <w:p>
      <w:pPr>
        <w:keepNext w:val="0"/>
        <w:spacing w:before="0" w:after="80" w:line="259" w:lineRule="auto"/>
      </w:pPr>
      <w:r>
        <w:rPr>
          <w:rFonts w:ascii="Liberation Sans" w:hAnsi="Liberation Sans" w:eastAsia="Liberation Sans"/>
          <w:b w:val="0"/>
          <w:color w:val="1F2D3D"/>
          <w:sz w:val="22"/>
        </w:rPr>
        <w:t>Сделать видимыми и управляемыми связи ИМАШ РАН с государством, Российской академией наук, промышленностью, регионами, вузами, финансовыми институтами, цифровыми платформами и обществом. Главный объект управления — не отдельное подразделение, а сквозной путь результата от задачи до внедрения.</w:t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Практическое назначение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Сформировать единый словарь узлов, контуров и гиперрёбер института.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Определить владельцев внешних связей, правила обмена данными и метрики результата.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Связать научные школы, программные комплексы и платформы с государственным и индустриальным заказом.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Подготовить основу для реестров, цифрового ГРИДа, проектных ячеек и портфельного управления.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Выделить пилоты, которые можно запустить без разрушения действующих научных подразделений.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208D69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EAF7F1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Главный принцип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Сохраняем научные школы и их предметную идентичность; поверх них вводим матричный контур, собирающий заказ, данные, компетенции, оборудование, испытания и внедрение в единый результат.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РЕЗЮМЕ ДЛЯ РУКОВОДСТВА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Ключевой вывод и управленческая гипотеза</w:t>
            </w:r>
          </w:p>
        </w:tc>
      </w:tr>
    </w:tbl>
    <w:p>
      <w:pPr>
        <w:spacing w:after="0"/>
      </w:pP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Ключевой вывод</w:t>
      </w:r>
    </w:p>
    <w:p>
      <w:pPr>
        <w:keepNext w:val="0"/>
        <w:spacing w:before="0" w:after="80" w:line="259" w:lineRule="auto"/>
      </w:pPr>
      <w:r>
        <w:rPr>
          <w:rFonts w:ascii="Liberation Sans" w:hAnsi="Liberation Sans" w:eastAsia="Liberation Sans"/>
          <w:b w:val="0"/>
          <w:color w:val="1F2D3D"/>
          <w:sz w:val="22"/>
        </w:rPr>
        <w:t>ИМАШ РАН располагает сильными научными школами, лабораториями и инженерными компетенциями. Основной резерв роста находится не только внутри отдельных направлений, а в качестве связей между ними и внешней средой. Гиперграф позволяет управлять такими связями как самостоятельными объектами: у каждого гиперребра появляются владелец, входные данные, правила, ресурсы, сроки и метрика эффекта.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CECF0"/>
            <w:tcBorders>
              <w:top w:val="single" w:sz="7" w:color="C8465B"/>
              <w:start w:val="single" w:sz="7" w:color="C8465B"/>
              <w:bottom w:val="single" w:sz="7" w:color="C8465B"/>
              <w:end w:val="single" w:sz="7" w:color="C8465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Сегодня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оргсхема показывает подчинённость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внешние связи распределены по многим ролям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маршрут результата собирается вручную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данные и доказательства эффекта разнесены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Целевая модель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оргсхема сохраняется как административный каркас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гиперграф становится контуром кооперации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проектная ячейка отвечает за полный цикл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цифровой ГРИД хранит связи и доказательства</w:t>
            </w:r>
          </w:p>
        </w:tc>
      </w:tr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Объект управления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заказ и техническая задача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компетенции и научные школы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оборудование и испытательные мощности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данные, стандарты и интеллектуальная собственность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8E4"/>
            <w:tcBorders>
              <w:top w:val="single" w:sz="7" w:color="C89820"/>
              <w:start w:val="single" w:sz="7" w:color="C89820"/>
              <w:bottom w:val="single" w:sz="7" w:color="C89820"/>
              <w:end w:val="single" w:sz="7" w:color="C8982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Ожидаемый эффект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короче путь НИР → прототип → пилот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выше загрузка оборудования и команд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прозрачнее портфель и ресурсный баланс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быстрее масштабирование успешных решений</w:t>
            </w:r>
          </w:p>
        </w:tc>
      </w:tr>
    </w:tbl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1. Исходная точка: действующая организационная схема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751862" cy="45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rent_upper_cro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51862" cy="45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Фотография предоставлена пользователем. Схема читается как многоуровневая система научных, проектных, вспомогательных, функциональных и обслуживающих подразделений.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1D6FC0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EAF4FC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Интерпретация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Действующая схема отвечает на вопрос «кто кому подчинён». Для управления полным жизненным циклом необходимо дополнить её ответами на вопросы «кто с кем создаёт результат», «какие ресурсы и данные объединяются», «кто владеет сквозной связью» и «как подтверждается эффект».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2. ПОЧЕМУ ИМЕННО ГИПЕРГРАФ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От единичных связей к совместным контурам</w:t>
            </w:r>
          </w:p>
        </w:tc>
      </w:tr>
    </w:tbl>
    <w:p>
      <w:pPr>
        <w:spacing w:after="0"/>
      </w:pP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Базовые понятия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1928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Понятие</w:t>
            </w:r>
          </w:p>
        </w:tc>
        <w:tc>
          <w:tcPr>
            <w:tcW w:type="dxa" w:w="5783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Рабочее определение</w:t>
            </w:r>
          </w:p>
        </w:tc>
        <w:tc>
          <w:tcPr>
            <w:tcW w:type="dxa" w:w="7143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Пример для ИМАШ РАН</w:t>
            </w:r>
          </w:p>
        </w:tc>
      </w:tr>
      <w:tr>
        <w:tc>
          <w:tcPr>
            <w:tcW w:type="dxa" w:w="19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Узел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Объект, обладающий идентичностью, атрибутами и ответственным владельцем.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Лаборатория, проект, заказчик, стенд, стандарт, компетенция, регион.</w:t>
            </w:r>
          </w:p>
        </w:tc>
      </w:tr>
      <w:tr>
        <w:tc>
          <w:tcPr>
            <w:tcW w:type="dxa" w:w="19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Ребро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Связь между двумя объектами.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Лаборатория использует конкретный стенд.</w:t>
            </w:r>
          </w:p>
        </w:tc>
      </w:tr>
      <w:tr>
        <w:tc>
          <w:tcPr>
            <w:tcW w:type="dxa" w:w="19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Гиперребро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Связь, одновременно объединяющая несколько разных узлов вокруг одного действия или результата.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Заказчик + научная школа + программа + испытательный полигон + финансирование + стандарт.</w:t>
            </w:r>
          </w:p>
        </w:tc>
      </w:tr>
      <w:tr>
        <w:tc>
          <w:tcPr>
            <w:tcW w:type="dxa" w:w="19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Контур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Устойчивая группа узлов и гиперрёбер с общей функцией.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Государственный, академический, индустриальный, цифровой контур.</w:t>
            </w:r>
          </w:p>
        </w:tc>
      </w:tr>
      <w:tr>
        <w:tc>
          <w:tcPr>
            <w:tcW w:type="dxa" w:w="19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Маршрут результата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Последовательность состояний и переходов от постановки задачи до внедрения.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Заказ → НИР → модель → прототип → испытания → стандарт/IP → пилот → тиражирование.</w:t>
            </w:r>
          </w:p>
        </w:tc>
      </w:tr>
      <w:tr>
        <w:tc>
          <w:tcPr>
            <w:tcW w:type="dxa" w:w="19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Цифровой двойник связи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Запись о гиперребре: участники, роли, данные, обязательства, сроки, риски и метрики.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Паспорт кооперационной связи по пилоту.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7853B8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2ECFA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Почему обычного графа недостаточно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Большинство реальных научно-инженерных задач создаётся не парой участников, а коалицией. Гиперребро фиксирует коалицию как единый управляемый объект, сохраняя вклад каждого узла.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3. Внутренние контуры ИМАШ РАН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иперграфы_имаш_ран_внутренние_контур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Научные школы, программные комплексы, сквозные платформы, проектные ячейки, цифровой ГРИД и единые сервисы связываются в контур полного жизненного цикла.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4. ВНУТРЕННЯЯ АРХИТЕКТУРА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Что институт должен уметь собирать внутри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Научные школы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прочность и надёжность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материалы и конструкции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трибология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механика машин и управление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биомеханика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акустика и виброакустика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Программные комплексы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материалы Нового Уклада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робототехника и мехатроника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транспорт и энергетика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реабилитация и человек–машина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безопасность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экологические машинные системы</w:t>
            </w:r>
          </w:p>
        </w:tc>
      </w:tr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Сквозные платформы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конструкторское бюро и системная инженерия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прототипирование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испытания и центры коллективного пользования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метрология и стандарты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цифровая инженерия и ИИ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трансфер и образование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Проектные ячейки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научный руководитель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главный конструктор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менеджер проекта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представитель заказчика/партнёра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валидатор результата</w:t>
            </w:r>
          </w:p>
        </w:tc>
      </w:tr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9F8F6"/>
            <w:tcBorders>
              <w:top w:val="single" w:sz="7" w:color="20A49A"/>
              <w:start w:val="single" w:sz="7" w:color="20A49A"/>
              <w:bottom w:val="single" w:sz="7" w:color="20A49A"/>
              <w:end w:val="single" w:sz="7" w:color="20A49A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Цифровой ГРИД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граф машиноведения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паспорта компетенций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реестр оборудования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портфель проектов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НМА и стандарты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доказательства результата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4F6F8"/>
            <w:tcBorders>
              <w:top w:val="single" w:sz="7" w:color="66758A"/>
              <w:start w:val="single" w:sz="7" w:color="66758A"/>
              <w:bottom w:val="single" w:sz="7" w:color="66758A"/>
              <w:end w:val="single" w:sz="7" w:color="66758A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Единые сервисы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финансы и закупки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кадры и обучение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право и интеллектуальная собственность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безопасность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ИТ и инфраструктура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коммуникации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C89820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FF8E4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Результат сборки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Внутренний гиперграф переводит институт от последовательных согласований к параллельной работе научных, инженерных, испытательных, правовых и внедренческих команд.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5. Внешние контуры ИМАШ РАН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нешние_контуры_имаш_ран_гиперграф_кооперации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ИМАШ РАН рассматривается как узел кооперации, который получает задачи, ресурсы и партнёрства и возвращает прототипы, стандарты, технологии, кадры и подтверждённые эффекты.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6. КАРТА ВНЕШНИХ КОНТУРОВ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Входы, результаты, владельцы связи и базовые метрики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2"/>
        <w:gridCol w:w="3062"/>
        <w:gridCol w:w="3062"/>
        <w:gridCol w:w="3062"/>
        <w:gridCol w:w="3062"/>
      </w:tblGrid>
      <w:tr>
        <w:tc>
          <w:tcPr>
            <w:tcW w:type="dxa" w:w="1757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5"/>
              </w:rPr>
              <w:t>Контур</w:t>
            </w:r>
          </w:p>
        </w:tc>
        <w:tc>
          <w:tcPr>
            <w:tcW w:type="dxa" w:w="3458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5"/>
              </w:rPr>
              <w:t>Что входит в ИМАШ РАН</w:t>
            </w:r>
          </w:p>
        </w:tc>
        <w:tc>
          <w:tcPr>
            <w:tcW w:type="dxa" w:w="3515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5"/>
              </w:rPr>
              <w:t>Что выходит</w:t>
            </w:r>
          </w:p>
        </w:tc>
        <w:tc>
          <w:tcPr>
            <w:tcW w:type="dxa" w:w="3231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5"/>
              </w:rPr>
              <w:t>Владелец гиперребра</w:t>
            </w:r>
          </w:p>
        </w:tc>
        <w:tc>
          <w:tcPr>
            <w:tcW w:type="dxa" w:w="2891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5"/>
              </w:rPr>
              <w:t>Базовая метрика</w:t>
            </w:r>
          </w:p>
        </w:tc>
      </w:tr>
      <w:tr>
        <w:tc>
          <w:tcPr>
            <w:tcW w:type="dxa" w:w="1757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Государственный</w:t>
            </w:r>
          </w:p>
        </w:tc>
        <w:tc>
          <w:tcPr>
            <w:tcW w:type="dxa" w:w="345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приоритеты, госпрограммы, нацпроекты, стратегический заказ</w:t>
            </w:r>
          </w:p>
        </w:tc>
        <w:tc>
          <w:tcPr>
            <w:tcW w:type="dxa" w:w="351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экспертиза, НИОКР, технологии, стандарты, аналитика</w:t>
            </w:r>
          </w:p>
        </w:tc>
        <w:tc>
          <w:tcPr>
            <w:tcW w:type="dxa" w:w="323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руководитель портфеля / уполномоченный по взаимодействию</w:t>
            </w:r>
          </w:p>
        </w:tc>
        <w:tc>
          <w:tcPr>
            <w:tcW w:type="dxa" w:w="289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доля задач с закреплённым маршрутом и эффектом</w:t>
            </w:r>
          </w:p>
        </w:tc>
      </w:tr>
      <w:tr>
        <w:tc>
          <w:tcPr>
            <w:tcW w:type="dxa" w:w="1757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Академический</w:t>
            </w:r>
          </w:p>
        </w:tc>
        <w:tc>
          <w:tcPr>
            <w:tcW w:type="dxa" w:w="345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научные школы, фундаментальные результаты, экспертиза, ЦКП</w:t>
            </w:r>
          </w:p>
        </w:tc>
        <w:tc>
          <w:tcPr>
            <w:tcW w:type="dxa" w:w="351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совместные исследования, мегапроекты, базы данных, публикации</w:t>
            </w:r>
          </w:p>
        </w:tc>
        <w:tc>
          <w:tcPr>
            <w:tcW w:type="dxa" w:w="323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учёный совет / координатор академической сети</w:t>
            </w:r>
          </w:p>
        </w:tc>
        <w:tc>
          <w:tcPr>
            <w:tcW w:type="dxa" w:w="289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совместные программы и повторное использование данных</w:t>
            </w:r>
          </w:p>
        </w:tc>
      </w:tr>
      <w:tr>
        <w:tc>
          <w:tcPr>
            <w:tcW w:type="dxa" w:w="1757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Индустриальный</w:t>
            </w:r>
          </w:p>
        </w:tc>
        <w:tc>
          <w:tcPr>
            <w:tcW w:type="dxa" w:w="345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технологические задачи, испытательные объекты, софинансирование</w:t>
            </w:r>
          </w:p>
        </w:tc>
        <w:tc>
          <w:tcPr>
            <w:tcW w:type="dxa" w:w="351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прототипы, диагностика, модернизация, внедрение</w:t>
            </w:r>
          </w:p>
        </w:tc>
        <w:tc>
          <w:tcPr>
            <w:tcW w:type="dxa" w:w="323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совет индустриальных партнёров / главный конструктор</w:t>
            </w:r>
          </w:p>
        </w:tc>
        <w:tc>
          <w:tcPr>
            <w:tcW w:type="dxa" w:w="289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время до пилота, подтверждённый экономический эффект</w:t>
            </w:r>
          </w:p>
        </w:tc>
      </w:tr>
      <w:tr>
        <w:tc>
          <w:tcPr>
            <w:tcW w:type="dxa" w:w="1757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Технологический</w:t>
            </w:r>
          </w:p>
        </w:tc>
        <w:tc>
          <w:tcPr>
            <w:tcW w:type="dxa" w:w="345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КБ, инжиниринг, полигоны, цифровые платформы</w:t>
            </w:r>
          </w:p>
        </w:tc>
        <w:tc>
          <w:tcPr>
            <w:tcW w:type="dxa" w:w="351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системная интеграция, испытания, сертификация, цифровые двойники</w:t>
            </w:r>
          </w:p>
        </w:tc>
        <w:tc>
          <w:tcPr>
            <w:tcW w:type="dxa" w:w="323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руководитель сквозной платформы</w:t>
            </w:r>
          </w:p>
        </w:tc>
        <w:tc>
          <w:tcPr>
            <w:tcW w:type="dxa" w:w="289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готовность технологии и полнота испытательной базы</w:t>
            </w:r>
          </w:p>
        </w:tc>
      </w:tr>
      <w:tr>
        <w:tc>
          <w:tcPr>
            <w:tcW w:type="dxa" w:w="1757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Региональный</w:t>
            </w:r>
          </w:p>
        </w:tc>
        <w:tc>
          <w:tcPr>
            <w:tcW w:type="dxa" w:w="345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площадки, кластеры, НОЦ, запросы территорий</w:t>
            </w:r>
          </w:p>
        </w:tc>
        <w:tc>
          <w:tcPr>
            <w:tcW w:type="dxa" w:w="351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пилоты, локализация, рабочие места, тиражирование</w:t>
            </w:r>
          </w:p>
        </w:tc>
        <w:tc>
          <w:tcPr>
            <w:tcW w:type="dxa" w:w="323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координатор региональных пилотов</w:t>
            </w:r>
          </w:p>
        </w:tc>
        <w:tc>
          <w:tcPr>
            <w:tcW w:type="dxa" w:w="289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число тиражируемых решений и регионов внедрения</w:t>
            </w:r>
          </w:p>
        </w:tc>
      </w:tr>
      <w:tr>
        <w:tc>
          <w:tcPr>
            <w:tcW w:type="dxa" w:w="1757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Образовательный</w:t>
            </w:r>
          </w:p>
        </w:tc>
        <w:tc>
          <w:tcPr>
            <w:tcW w:type="dxa" w:w="345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вузы, аспирантура, молодые исследователи</w:t>
            </w:r>
          </w:p>
        </w:tc>
        <w:tc>
          <w:tcPr>
            <w:tcW w:type="dxa" w:w="351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кадровый резерв, программы подготовки, инженерные школы</w:t>
            </w:r>
          </w:p>
        </w:tc>
        <w:tc>
          <w:tcPr>
            <w:tcW w:type="dxa" w:w="323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координатор образования и кадров</w:t>
            </w:r>
          </w:p>
        </w:tc>
        <w:tc>
          <w:tcPr>
            <w:tcW w:type="dxa" w:w="289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время закрытия дефицита компетенций</w:t>
            </w:r>
          </w:p>
        </w:tc>
      </w:tr>
      <w:tr>
        <w:tc>
          <w:tcPr>
            <w:tcW w:type="dxa" w:w="1757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Финансово-инвестиционный</w:t>
            </w:r>
          </w:p>
        </w:tc>
        <w:tc>
          <w:tcPr>
            <w:tcW w:type="dxa" w:w="345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гранты, субсидии, инвестиции, проектное финансирование</w:t>
            </w:r>
          </w:p>
        </w:tc>
        <w:tc>
          <w:tcPr>
            <w:tcW w:type="dxa" w:w="351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финансовая модель, портфель, возвратность и эффект</w:t>
            </w:r>
          </w:p>
        </w:tc>
        <w:tc>
          <w:tcPr>
            <w:tcW w:type="dxa" w:w="323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портфельный совет / финансовый куратор</w:t>
            </w:r>
          </w:p>
        </w:tc>
        <w:tc>
          <w:tcPr>
            <w:tcW w:type="dxa" w:w="289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доля проектов с полным финансовым паспортом</w:t>
            </w:r>
          </w:p>
        </w:tc>
      </w:tr>
      <w:tr>
        <w:tc>
          <w:tcPr>
            <w:tcW w:type="dxa" w:w="1757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5"/>
              </w:rPr>
              <w:t>Цифровой и правовой</w:t>
            </w:r>
          </w:p>
        </w:tc>
        <w:tc>
          <w:tcPr>
            <w:tcW w:type="dxa" w:w="345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реестры, данные, ИИ, НПА, стандарты, режимы ИС</w:t>
            </w:r>
          </w:p>
        </w:tc>
        <w:tc>
          <w:tcPr>
            <w:tcW w:type="dxa" w:w="351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цифровая прослеживаемость, защита данных, патенты, НМА</w:t>
            </w:r>
          </w:p>
        </w:tc>
        <w:tc>
          <w:tcPr>
            <w:tcW w:type="dxa" w:w="323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владелец данных / право / ИБ</w:t>
            </w:r>
          </w:p>
        </w:tc>
        <w:tc>
          <w:tcPr>
            <w:tcW w:type="dxa" w:w="289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5"/>
              </w:rPr>
              <w:t>полнота паспортов, качество данных, правовая готовность</w:t>
            </w:r>
          </w:p>
        </w:tc>
      </w:tr>
    </w:tbl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7. Расширенная карта внешней экосистемы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8477999" cy="565199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de_infographic_slide_poster_in_a_clean_futuris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77999" cy="56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Плакатная версия показывает государственные, индустриальные, академические, общественные, финансовые, технологические, инфраструктурные, ресурсные, кадровые и правовые связи вокруг ядра ИМАШ РАН.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8. ОНТОЛОГИЯ УЗЛОВ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Какие сущности должны получить цифровые паспорта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Наука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научная школа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отдел/лаборатория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исследовательская тема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методика и модель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Проекты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заказ/вызов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НИР/ОКР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программа и портфель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пилот и тиражирование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Технологии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материал/компонент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конструкция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технологический процесс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цифровой двойник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8E4"/>
            <w:tcBorders>
              <w:top w:val="single" w:sz="7" w:color="C89820"/>
              <w:start w:val="single" w:sz="7" w:color="C89820"/>
              <w:bottom w:val="single" w:sz="7" w:color="C89820"/>
              <w:end w:val="single" w:sz="7" w:color="C8982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Ресурсы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оборудование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стенд/полигон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вычислительные мощности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финансирование</w:t>
            </w:r>
          </w:p>
        </w:tc>
      </w:tr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Люди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компетенция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исследователь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конструктор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проектная роль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CECF0"/>
            <w:tcBorders>
              <w:top w:val="single" w:sz="7" w:color="C8465B"/>
              <w:start w:val="single" w:sz="7" w:color="C8465B"/>
              <w:bottom w:val="single" w:sz="7" w:color="C8465B"/>
              <w:end w:val="single" w:sz="7" w:color="C8465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Партнёры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орган власти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институт/вуз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предприятие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регион/кластер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4F6F8"/>
            <w:tcBorders>
              <w:top w:val="single" w:sz="7" w:color="66758A"/>
              <w:start w:val="single" w:sz="7" w:color="66758A"/>
              <w:bottom w:val="single" w:sz="7" w:color="66758A"/>
              <w:end w:val="single" w:sz="7" w:color="66758A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Нормативность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стандарт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метрология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патент/ноу-хау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договор и режим данных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8F7FA"/>
            <w:tcBorders>
              <w:top w:val="single" w:sz="7" w:color="1A94A5"/>
              <w:start w:val="single" w:sz="7" w:color="1A94A5"/>
              <w:bottom w:val="single" w:sz="7" w:color="1A94A5"/>
              <w:end w:val="single" w:sz="7" w:color="1A94A5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Результаты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научный результат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прототип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акт испытаний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эффект и доказательство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1D6FC0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EAF4FC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Минимальный паспорт узла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Идентификатор; тип; владелец; состояние; связи; ресурсы; ограничения; документы; уровень готовности; показатели качества; история изменений.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9. ТИПЫ ГИПЕРРЁБЕР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Связи, которые необходимо сделать управляемыми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2381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Гиперребро</w:t>
            </w:r>
          </w:p>
        </w:tc>
        <w:tc>
          <w:tcPr>
            <w:tcW w:type="dxa" w:w="3628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Функция</w:t>
            </w:r>
          </w:p>
        </w:tc>
        <w:tc>
          <w:tcPr>
            <w:tcW w:type="dxa" w:w="4535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Состав участников</w:t>
            </w:r>
          </w:p>
        </w:tc>
        <w:tc>
          <w:tcPr>
            <w:tcW w:type="dxa" w:w="4422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Обязательные данные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Заказ ↔ школа</w:t>
            </w:r>
          </w:p>
        </w:tc>
        <w:tc>
          <w:tcPr>
            <w:tcW w:type="dxa" w:w="36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соединяет потребность с научным ответом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заказчик + координатор + научная школа + эксперт</w:t>
            </w:r>
          </w:p>
        </w:tc>
        <w:tc>
          <w:tcPr>
            <w:tcW w:type="dxa" w:w="442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паспорт задачи, научная гипотеза, критерии приёмки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Школа ↔ программа</w:t>
            </w:r>
          </w:p>
        </w:tc>
        <w:tc>
          <w:tcPr>
            <w:tcW w:type="dxa" w:w="36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собирает несколько компетенций под комплекс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научные школы + руководитель программы + партнёр</w:t>
            </w:r>
          </w:p>
        </w:tc>
        <w:tc>
          <w:tcPr>
            <w:tcW w:type="dxa" w:w="442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дорожная карта программы, матрица компетенций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Программа ↔ платформа</w:t>
            </w:r>
          </w:p>
        </w:tc>
        <w:tc>
          <w:tcPr>
            <w:tcW w:type="dxa" w:w="36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обеспечивает инженеризацию и испытания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программа + КБ + ЦКП + метрология + ИТ</w:t>
            </w:r>
          </w:p>
        </w:tc>
        <w:tc>
          <w:tcPr>
            <w:tcW w:type="dxa" w:w="442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план прототипирования и испытаний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Проект ↔ жизненный цикл</w:t>
            </w:r>
          </w:p>
        </w:tc>
        <w:tc>
          <w:tcPr>
            <w:tcW w:type="dxa" w:w="36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фиксирует стадии, ворота и ответственность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проектная ячейка + сервисы + заказчик</w:t>
            </w:r>
          </w:p>
        </w:tc>
        <w:tc>
          <w:tcPr>
            <w:tcW w:type="dxa" w:w="442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паспорт проекта, решения по воротам, доказательства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Данные ↔ сервисы</w:t>
            </w:r>
          </w:p>
        </w:tc>
        <w:tc>
          <w:tcPr>
            <w:tcW w:type="dxa" w:w="36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обеспечивает доступ, качество и безопасность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владелец данных + ИТ + ИБ + право</w:t>
            </w:r>
          </w:p>
        </w:tc>
        <w:tc>
          <w:tcPr>
            <w:tcW w:type="dxa" w:w="442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каталог данных, регламенты доступа, журнал изменений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Баланс ↔ решение</w:t>
            </w:r>
          </w:p>
        </w:tc>
        <w:tc>
          <w:tcPr>
            <w:tcW w:type="dxa" w:w="36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связывает ресурсные ограничения с выбором сценария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Учетная группа + портфельный совет + владелец ресурса</w:t>
            </w:r>
          </w:p>
        </w:tc>
        <w:tc>
          <w:tcPr>
            <w:tcW w:type="dxa" w:w="442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баланс, сценарий, протокол решения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Партнёр ↔ результат</w:t>
            </w:r>
          </w:p>
        </w:tc>
        <w:tc>
          <w:tcPr>
            <w:tcW w:type="dxa" w:w="362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закрепляет внедрение и распределение эффекта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заказчик + институт + инвестор + регион</w:t>
            </w:r>
          </w:p>
        </w:tc>
        <w:tc>
          <w:tcPr>
            <w:tcW w:type="dxa" w:w="442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соглашение о пилоте, модель эффекта, акт внедрения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6"/>
              </w:rPr>
              <w:t>Пилот ↔ тиражирование</w:t>
            </w:r>
          </w:p>
        </w:tc>
        <w:tc>
          <w:tcPr>
            <w:tcW w:type="dxa" w:w="362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переводит единичный успех в стандартную модель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пилотная площадка + валидатор + стандарт + сеть внедрения</w:t>
            </w:r>
          </w:p>
        </w:tc>
        <w:tc>
          <w:tcPr>
            <w:tcW w:type="dxa" w:w="442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6"/>
              </w:rPr>
              <w:t>паспорт типового решения, условия масштабирования</w:t>
            </w:r>
          </w:p>
        </w:tc>
      </w:tr>
    </w:tbl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10. Единый контур результата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иперграф_имаш_ран_путь_результата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Внешние контуры формируют спрос и возможности; внутренние контуры превращают их в управляемый маршрут: заказ → исследование → модель → прототип → испытания → стандарт/IP → пилот → внедрение.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11. ЖИЗНЕННЫЙ ЦИКЛ РЕЗУЛЬТАТА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Ворота принятия решений и доказательства перехода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2381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Ворота</w:t>
            </w:r>
          </w:p>
        </w:tc>
        <w:tc>
          <w:tcPr>
            <w:tcW w:type="dxa" w:w="3969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Критерий перехода</w:t>
            </w:r>
          </w:p>
        </w:tc>
        <w:tc>
          <w:tcPr>
            <w:tcW w:type="dxa" w:w="4535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Доказательство</w:t>
            </w:r>
          </w:p>
        </w:tc>
        <w:tc>
          <w:tcPr>
            <w:tcW w:type="dxa" w:w="4082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Кто принимает решение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G0. Заказ / вызов</w:t>
            </w:r>
          </w:p>
        </w:tc>
        <w:tc>
          <w:tcPr>
            <w:tcW w:type="dxa" w:w="396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зафиксирована потребность и выгодополучатель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паспорт задачи, исходные ограничения</w:t>
            </w:r>
          </w:p>
        </w:tc>
        <w:tc>
          <w:tcPr>
            <w:tcW w:type="dxa" w:w="408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заказчик / портфельный совет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G1. Научная гипотеза</w:t>
            </w:r>
          </w:p>
        </w:tc>
        <w:tc>
          <w:tcPr>
            <w:tcW w:type="dxa" w:w="396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определён проверяемый научный ответ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обзор, гипотеза, план эксперимента</w:t>
            </w:r>
          </w:p>
        </w:tc>
        <w:tc>
          <w:tcPr>
            <w:tcW w:type="dxa" w:w="408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научный руководитель / учёный совет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G2. Модель / решение</w:t>
            </w:r>
          </w:p>
        </w:tc>
        <w:tc>
          <w:tcPr>
            <w:tcW w:type="dxa" w:w="396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создана расчётная или экспериментальная модель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модель, данные, критерии валидации</w:t>
            </w:r>
          </w:p>
        </w:tc>
        <w:tc>
          <w:tcPr>
            <w:tcW w:type="dxa" w:w="408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главный конструктор / эксперт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G3. Прототип</w:t>
            </w:r>
          </w:p>
        </w:tc>
        <w:tc>
          <w:tcPr>
            <w:tcW w:type="dxa" w:w="396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создан опытный образец или программный прототип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КД/ПО, спецификация, паспорт безопасности</w:t>
            </w:r>
          </w:p>
        </w:tc>
        <w:tc>
          <w:tcPr>
            <w:tcW w:type="dxa" w:w="408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КБ / руководитель платформы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G4. Испытания</w:t>
            </w:r>
          </w:p>
        </w:tc>
        <w:tc>
          <w:tcPr>
            <w:tcW w:type="dxa" w:w="396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характеристики подтверждены по программе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протоколы, акты, метрология</w:t>
            </w:r>
          </w:p>
        </w:tc>
        <w:tc>
          <w:tcPr>
            <w:tcW w:type="dxa" w:w="408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испытательный центр / валидатор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G5. Стандарт / IP</w:t>
            </w:r>
          </w:p>
        </w:tc>
        <w:tc>
          <w:tcPr>
            <w:tcW w:type="dxa" w:w="396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результат правово и нормативно оформлен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патент, ноу-хау, стандарт, лицензия</w:t>
            </w:r>
          </w:p>
        </w:tc>
        <w:tc>
          <w:tcPr>
            <w:tcW w:type="dxa" w:w="408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право / патентно-лицензионный блок</w:t>
            </w:r>
          </w:p>
        </w:tc>
      </w:tr>
      <w:tr>
        <w:tc>
          <w:tcPr>
            <w:tcW w:type="dxa" w:w="238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G6. Пилот</w:t>
            </w:r>
          </w:p>
        </w:tc>
        <w:tc>
          <w:tcPr>
            <w:tcW w:type="dxa" w:w="396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решение проверено в реальной эксплуатации</w:t>
            </w:r>
          </w:p>
        </w:tc>
        <w:tc>
          <w:tcPr>
            <w:tcW w:type="dxa" w:w="45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соглашение, отчёт, эффект, замечания</w:t>
            </w:r>
          </w:p>
        </w:tc>
        <w:tc>
          <w:tcPr>
            <w:tcW w:type="dxa" w:w="408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партнёр / регион / проектная ячейка</w:t>
            </w:r>
          </w:p>
        </w:tc>
      </w:tr>
      <w:tr>
        <w:tc>
          <w:tcPr>
            <w:tcW w:type="dxa" w:w="238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G7. Тиражирование</w:t>
            </w:r>
          </w:p>
        </w:tc>
        <w:tc>
          <w:tcPr>
            <w:tcW w:type="dxa" w:w="396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создан типовой пакет внедрения</w:t>
            </w:r>
          </w:p>
        </w:tc>
        <w:tc>
          <w:tcPr>
            <w:tcW w:type="dxa" w:w="45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типовой проект, экономика, обучение, сервис</w:t>
            </w:r>
          </w:p>
        </w:tc>
        <w:tc>
          <w:tcPr>
            <w:tcW w:type="dxa" w:w="408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портфельный совет / сеть партнёров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C8465B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CECF0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Правило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Переход на следующую стадию допускается только при наличии цифровых доказательств, ответственного владельца и обновлённого ресурсного баланса.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12. Управление ключевыми гиперрёбрами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иперграфы_имаш_ран_контуры_управлени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Гиперграф становится инструментом управления, когда у каждой ключевой связи есть владелец, паспорт, данные, правила изменения, риск-профиль и метрика результата.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13. КОНТУР УПРАВЛЕНИЯ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Наблюдение → классификация → сценарий → решение → действие → доказательство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1. Наблюдение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сбор событий, запросов, данных и сигналов от внешней среды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2. Классификация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привязка сигнала к узлам, контурам, рискам и приоритетам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3. Сценарий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варианты сборки команды, ресурсов, сроков и ожидаемого эффекта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4. Решение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выбор варианта, назначение владельцев, фиксация обязательств</w:t>
            </w:r>
          </w:p>
        </w:tc>
      </w:tr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5. Действие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НИР, проектирование, закупки, испытания, пилот, внедрение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6. Контроль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мониторинг сроков, качества, бюджета, загрузки и рисков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7. Результат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акт, прототип, стандарт, патент, эффект, обучение, тиражирование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8. Память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возврат фактов, доказательств и уроков в цифровой ГРИД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7853B8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2ECFA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Мыслящий поток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Контур не заканчивается отчётом. Каждый результат возвращается в память института как набор проверяемых фактов, новых связей, обновлённых моделей и правил для следующих решений.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14. ЦИФРОВОЙ ГРИД И РЕЕСТРЫ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Минимальная информационная основа гиперграфа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2608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Реестр</w:t>
            </w:r>
          </w:p>
        </w:tc>
        <w:tc>
          <w:tcPr>
            <w:tcW w:type="dxa" w:w="5783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Что хранит</w:t>
            </w:r>
          </w:p>
        </w:tc>
        <w:tc>
          <w:tcPr>
            <w:tcW w:type="dxa" w:w="6690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Ключевые поля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R1. Узлы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организации, подразделения, люди, проекты, технологии, ресурсы</w:t>
            </w:r>
          </w:p>
        </w:tc>
        <w:tc>
          <w:tcPr>
            <w:tcW w:type="dxa" w:w="6690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единый идентификатор, тип, владелец, состояние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R2. Гиперрёбра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кооперационные связи и проектные коалиции</w:t>
            </w:r>
          </w:p>
        </w:tc>
        <w:tc>
          <w:tcPr>
            <w:tcW w:type="dxa" w:w="6690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состав, роли, цель, срок, правила, метрика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R3. Компетенции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знания, методы, квалификации, научные школы</w:t>
            </w:r>
          </w:p>
        </w:tc>
        <w:tc>
          <w:tcPr>
            <w:tcW w:type="dxa" w:w="6690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уровень, носитель, подтверждение, доступность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R4. Оборудование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стенды, ЦКП, приборы, полигоны, вычисления</w:t>
            </w:r>
          </w:p>
        </w:tc>
        <w:tc>
          <w:tcPr>
            <w:tcW w:type="dxa" w:w="6690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характеристики, загрузка, состояние, стоимость часа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R5. Проекты и портфель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заказы, НИР, ОКР, программы, пилоты</w:t>
            </w:r>
          </w:p>
        </w:tc>
        <w:tc>
          <w:tcPr>
            <w:tcW w:type="dxa" w:w="6690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ворота, сроки, бюджет, риски, результаты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R6. Данные и модели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наборы данных, цифровые двойники, алгоритмы</w:t>
            </w:r>
          </w:p>
        </w:tc>
        <w:tc>
          <w:tcPr>
            <w:tcW w:type="dxa" w:w="6690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происхождение, качество, доступ, версия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R7. НМА и нормативность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патенты, ноу-хау, стандарты, методики, договоры</w:t>
            </w:r>
          </w:p>
        </w:tc>
        <w:tc>
          <w:tcPr>
            <w:tcW w:type="dxa" w:w="6690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правообладатель, режим, применимость, срок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R8. Партнёры и площадки</w:t>
            </w:r>
          </w:p>
        </w:tc>
        <w:tc>
          <w:tcPr>
            <w:tcW w:type="dxa" w:w="578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органы власти, предприятия, вузы, регионы</w:t>
            </w:r>
          </w:p>
        </w:tc>
        <w:tc>
          <w:tcPr>
            <w:tcW w:type="dxa" w:w="6690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роль, компетенции, ресурсы, история взаимодействия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R9. Результаты и доказательства</w:t>
            </w:r>
          </w:p>
        </w:tc>
        <w:tc>
          <w:tcPr>
            <w:tcW w:type="dxa" w:w="578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протоколы, акты, эффекты, отзывы, тиражирование</w:t>
            </w:r>
          </w:p>
        </w:tc>
        <w:tc>
          <w:tcPr>
            <w:tcW w:type="dxa" w:w="6690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критерий, источник, валидатор, статус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C89820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FF8E4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Технический принцип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ГРИД не должен начинаться с создания ещё одной изолированной информационной системы. Первый шаг — единая модель данных, справочники, идентификаторы и API к уже существующим системам.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15. 19 СВЯЗАННЫХ БАЛАНСОВ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Рабочий перечень для проектно-портфельного управления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01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Стратегический — соответствие задач приоритетам и ожидаемым эффектам.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02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Научно-технологический — уровень знаний, готовность технологий и дефициты исследований.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03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Производственный — мощности, кооперация и возможность изготовления.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04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Материально-ресурсный — материалы, компоненты, сырьё и критические зависимости.</w:t>
            </w:r>
          </w:p>
        </w:tc>
      </w:tr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8E4"/>
            <w:tcBorders>
              <w:top w:val="single" w:sz="7" w:color="C89820"/>
              <w:start w:val="single" w:sz="7" w:color="C89820"/>
              <w:bottom w:val="single" w:sz="7" w:color="C89820"/>
              <w:end w:val="single" w:sz="7" w:color="C8982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05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Энергетический — энергопотребление, стоимость и доступность мощности.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06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Инфраструктурный — помещения, полигоны, лаборатории, связь и логистика.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07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Кадровый — численность, роли, возрастная структура и доступность специалистов.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08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Баланс компетенций — наличие знаний, методов и подтверждённых квалификаций.</w:t>
            </w:r>
          </w:p>
        </w:tc>
      </w:tr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09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Оборудования — наличие, состояние, загрузка, ремонт и модернизация стендов.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8E4"/>
            <w:tcBorders>
              <w:top w:val="single" w:sz="7" w:color="C89820"/>
              <w:start w:val="single" w:sz="7" w:color="C89820"/>
              <w:bottom w:val="single" w:sz="7" w:color="C89820"/>
              <w:end w:val="single" w:sz="7" w:color="C8982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10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Проектный — сроки, ворота, взаимозависимости и критический путь.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11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Финансовый — бюджет, источники, обязательства и фактические затраты.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12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Инвестиционный — эффект, окупаемость, риски и механизм масштабирования.</w:t>
            </w:r>
          </w:p>
        </w:tc>
      </w:tr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13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Правовой и регуляторный — полномочия, договоры, режимы и ограничения.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14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Информационный — данные, качество, совместимость, ИБ и права доступа.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8E4"/>
            <w:tcBorders>
              <w:top w:val="single" w:sz="7" w:color="C89820"/>
              <w:start w:val="single" w:sz="7" w:color="C89820"/>
              <w:bottom w:val="single" w:sz="7" w:color="C89820"/>
              <w:end w:val="single" w:sz="7" w:color="C8982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15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Баланс интеллектуальной собственности — патенты, ноу-хау, лицензии и НМА.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16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Экологический — ресурсоёмкость, выбросы, отходы и жизненный цикл.</w:t>
            </w:r>
          </w:p>
        </w:tc>
      </w:tr>
      <w:tr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17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Региональный — размещение компетенций, площадок, спроса и эффекта.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18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Кооперационный — устойчивость партнёрских связей и распределение ролей.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19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Баланс результативности — научные, технологические, экономические и общественные эффекты.</w:t>
            </w:r>
          </w:p>
        </w:tc>
        <w:tc>
          <w:tcPr>
            <w:tcW w:type="dxa" w:w="3827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FFF"/>
            <w:tcBorders>
              <w:top w:val="nil"/>
              <w:start w:val="nil"/>
              <w:bottom w:val="nil"/>
              <w:end w:val="nil"/>
            </w:tcBorders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16. РОЛИ И ОТВЕТСТВЕННОСТЬ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Кто управляет не подразделениями, а сквозным результатом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4139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10942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Зона ответственности</w:t>
            </w:r>
          </w:p>
        </w:tc>
      </w:tr>
      <w:tr>
        <w:tc>
          <w:tcPr>
            <w:tcW w:type="dxa" w:w="413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Директор института</w:t>
            </w:r>
          </w:p>
        </w:tc>
        <w:tc>
          <w:tcPr>
            <w:tcW w:type="dxa" w:w="1094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стратегия, мандат, приоритеты, ответственность за интегральный результат</w:t>
            </w:r>
          </w:p>
        </w:tc>
      </w:tr>
      <w:tr>
        <w:tc>
          <w:tcPr>
            <w:tcW w:type="dxa" w:w="413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Учёный совет</w:t>
            </w:r>
          </w:p>
        </w:tc>
        <w:tc>
          <w:tcPr>
            <w:tcW w:type="dxa" w:w="1094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научное качество, этика, школы, экспертиза гипотез и научных результатов</w:t>
            </w:r>
          </w:p>
        </w:tc>
      </w:tr>
      <w:tr>
        <w:tc>
          <w:tcPr>
            <w:tcW w:type="dxa" w:w="413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Программно-портфельный совет</w:t>
            </w:r>
          </w:p>
        </w:tc>
        <w:tc>
          <w:tcPr>
            <w:tcW w:type="dxa" w:w="1094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приоритеты, ресурсные балансы, ворота, остановка и масштабирование проектов</w:t>
            </w:r>
          </w:p>
        </w:tc>
      </w:tr>
      <w:tr>
        <w:tc>
          <w:tcPr>
            <w:tcW w:type="dxa" w:w="413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Совет индустриальных партнёров</w:t>
            </w:r>
          </w:p>
        </w:tc>
        <w:tc>
          <w:tcPr>
            <w:tcW w:type="dxa" w:w="1094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заказ, пилотные площадки, внедрение, обратная связь, экономический эффект</w:t>
            </w:r>
          </w:p>
        </w:tc>
      </w:tr>
      <w:tr>
        <w:tc>
          <w:tcPr>
            <w:tcW w:type="dxa" w:w="413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Офис главного конструктора</w:t>
            </w:r>
          </w:p>
        </w:tc>
        <w:tc>
          <w:tcPr>
            <w:tcW w:type="dxa" w:w="1094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системная архитектура, интеграция дисциплин, конфигурация результата</w:t>
            </w:r>
          </w:p>
        </w:tc>
      </w:tr>
      <w:tr>
        <w:tc>
          <w:tcPr>
            <w:tcW w:type="dxa" w:w="413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Учетная группа</w:t>
            </w:r>
          </w:p>
        </w:tc>
        <w:tc>
          <w:tcPr>
            <w:tcW w:type="dxa" w:w="1094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паспорта узлов и связей, 19 балансов, доказательства, управленческая отчётность</w:t>
            </w:r>
          </w:p>
        </w:tc>
      </w:tr>
      <w:tr>
        <w:tc>
          <w:tcPr>
            <w:tcW w:type="dxa" w:w="413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Руководители научных школ</w:t>
            </w:r>
          </w:p>
        </w:tc>
        <w:tc>
          <w:tcPr>
            <w:tcW w:type="dxa" w:w="1094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научная компетентность, кадры, методы, развитие предметной школы</w:t>
            </w:r>
          </w:p>
        </w:tc>
      </w:tr>
      <w:tr>
        <w:tc>
          <w:tcPr>
            <w:tcW w:type="dxa" w:w="413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Руководители программ</w:t>
            </w:r>
          </w:p>
        </w:tc>
        <w:tc>
          <w:tcPr>
            <w:tcW w:type="dxa" w:w="1094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сборка портфеля проектов под комплекс и внешнюю задачу</w:t>
            </w:r>
          </w:p>
        </w:tc>
      </w:tr>
      <w:tr>
        <w:tc>
          <w:tcPr>
            <w:tcW w:type="dxa" w:w="413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Руководители платформ</w:t>
            </w:r>
          </w:p>
        </w:tc>
        <w:tc>
          <w:tcPr>
            <w:tcW w:type="dxa" w:w="1094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инженерия, прототипирование, испытания, метрология, цифровые сервисы</w:t>
            </w:r>
          </w:p>
        </w:tc>
      </w:tr>
      <w:tr>
        <w:tc>
          <w:tcPr>
            <w:tcW w:type="dxa" w:w="413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Проектная ячейка</w:t>
            </w:r>
          </w:p>
        </w:tc>
        <w:tc>
          <w:tcPr>
            <w:tcW w:type="dxa" w:w="1094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полный жизненный цикл конкретного результата и коммуникация с заказчиком</w:t>
            </w:r>
          </w:p>
        </w:tc>
      </w:tr>
      <w:tr>
        <w:tc>
          <w:tcPr>
            <w:tcW w:type="dxa" w:w="4139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Владелец данных / ИБ / право</w:t>
            </w:r>
          </w:p>
        </w:tc>
        <w:tc>
          <w:tcPr>
            <w:tcW w:type="dxa" w:w="1094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качество, безопасность, правовой режим, интеллектуальная собственность</w:t>
            </w:r>
          </w:p>
        </w:tc>
      </w:tr>
      <w:tr>
        <w:tc>
          <w:tcPr>
            <w:tcW w:type="dxa" w:w="4139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Валидатор</w:t>
            </w:r>
          </w:p>
        </w:tc>
        <w:tc>
          <w:tcPr>
            <w:tcW w:type="dxa" w:w="1094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независимое подтверждение характеристик, готовности и эффекта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17. ПЕРВЫЕ ПИЛОТЫ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Проверка гиперграфа на реальных задачах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Пилот 1. Материалы Нового Уклада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керамика и синтетические кристаллы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трибология и износостойкость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расчёт → образец → испытание → стандарт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партнёры: производитель, ЦКП, заказчик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Пилот 2. Цифровой жизненный цикл машины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единый цифровой паспорт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модель надёжности и остаточного ресурса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данные испытаний и эксплуатации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связь КБ, лаборатории и промышленной площадки</w:t>
            </w:r>
          </w:p>
        </w:tc>
      </w:tr>
      <w:tr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Пилот 3. Человек–машина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биомеханика и реабилитационные системы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адаптивное управление и безопасность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индивидуальная настройка и валидация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связь медицины, инженерии, региона и производства</w:t>
            </w:r>
          </w:p>
        </w:tc>
        <w:tc>
          <w:tcPr>
            <w:tcW w:type="dxa" w:w="7654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Пилот 4. Виброакустическая безопасность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диагностика машин и сооружений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цифровые модели акустического поля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испытательные методики и стандарты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масштабирование на отраслевые площадки</w:t>
            </w:r>
          </w:p>
        </w:tc>
      </w:tr>
    </w:tbl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Единые критерии выбора пилота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наличие реального заказчика и площадки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доступность ключевых компетенций и оборудования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измеримый эффект в горизонте 6–12 месяцев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возможность тиражирования</w:t>
      </w:r>
    </w:p>
    <w:p>
      <w:pPr>
        <w:pStyle w:val="ListBullet"/>
        <w:spacing w:after="40" w:line="252" w:lineRule="auto"/>
        <w:ind w:left="255" w:hanging="142"/>
      </w:pPr>
      <w:r>
        <w:rPr>
          <w:rFonts w:ascii="Liberation Sans" w:hAnsi="Liberation Sans" w:eastAsia="Liberation Sans"/>
          <w:color w:val="1F2D3D"/>
          <w:sz w:val="20"/>
        </w:rPr>
        <w:t>приемлемый правовой и технологический риск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18. ДОРОЖНАЯ КАРТА 0–24 МЕСЯЦА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Переход без остановки действующих исследований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2268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13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Ключевые действия</w:t>
            </w:r>
          </w:p>
        </w:tc>
      </w:tr>
      <w:tr>
        <w:tc>
          <w:tcPr>
            <w:tcW w:type="dxa" w:w="226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0–30 дней</w:t>
            </w:r>
          </w:p>
        </w:tc>
        <w:tc>
          <w:tcPr>
            <w:tcW w:type="dxa" w:w="1281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назначить владельца программы; утвердить словарь узлов и гиперрёбер; выбрать 3–4 пилота; создать рабочую группу; зафиксировать исходные балансы</w:t>
            </w:r>
          </w:p>
        </w:tc>
      </w:tr>
      <w:tr>
        <w:tc>
          <w:tcPr>
            <w:tcW w:type="dxa" w:w="226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1–3 месяца</w:t>
            </w:r>
          </w:p>
        </w:tc>
        <w:tc>
          <w:tcPr>
            <w:tcW w:type="dxa" w:w="1281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паспортизировать пилоты, компетенции и оборудование; определить ворота и метрики; подготовить регламент проектных ячеек; заключить рамочные соглашения с партнёрами</w:t>
            </w:r>
          </w:p>
        </w:tc>
      </w:tr>
      <w:tr>
        <w:tc>
          <w:tcPr>
            <w:tcW w:type="dxa" w:w="226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3–6 месяцев</w:t>
            </w:r>
          </w:p>
        </w:tc>
        <w:tc>
          <w:tcPr>
            <w:tcW w:type="dxa" w:w="1281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развернуть минимальный цифровой ГРИД; запустить проектные ячейки; синхронизировать закупки, право, ИТ и испытания; провести первые портфельные обзоры</w:t>
            </w:r>
          </w:p>
        </w:tc>
      </w:tr>
      <w:tr>
        <w:tc>
          <w:tcPr>
            <w:tcW w:type="dxa" w:w="226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6–12 месяцев</w:t>
            </w:r>
          </w:p>
        </w:tc>
        <w:tc>
          <w:tcPr>
            <w:tcW w:type="dxa" w:w="1281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получить прототипы и результаты испытаний; оформить IP и стандарты; провести пилотную эксплуатацию; подтвердить эффекты; скорректировать модель</w:t>
            </w:r>
          </w:p>
        </w:tc>
      </w:tr>
      <w:tr>
        <w:tc>
          <w:tcPr>
            <w:tcW w:type="dxa" w:w="226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12–18 месяцев</w:t>
            </w:r>
          </w:p>
        </w:tc>
        <w:tc>
          <w:tcPr>
            <w:tcW w:type="dxa" w:w="1281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тиражировать лучшие практики на другие программы; подключить регионы и новые промышленные площадки; развить реестр НМА и типовых решений</w:t>
            </w:r>
          </w:p>
        </w:tc>
      </w:tr>
      <w:tr>
        <w:tc>
          <w:tcPr>
            <w:tcW w:type="dxa" w:w="226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8"/>
              </w:rPr>
              <w:t>18–24 месяца</w:t>
            </w:r>
          </w:p>
        </w:tc>
        <w:tc>
          <w:tcPr>
            <w:tcW w:type="dxa" w:w="1281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8"/>
              </w:rPr>
              <w:t>закрепить модель в локальных актах; интегрировать с внешними платформами и государственными контурами; перейти к регулярному управлению портфелем и 19 балансами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C8465B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FCECF0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Критическое правило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Не начинать с реорганизации штатной структуры. Сначала доказать новую логику на пилотах, данных и измеримых результатах; затем закреплять устойчивые роли и процессы.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19. СИСТЕМА ПОКАЗАТЕЛЕЙ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Как измерять работающий гиперграф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2608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Контур KPI</w:t>
            </w:r>
          </w:p>
        </w:tc>
        <w:tc>
          <w:tcPr>
            <w:tcW w:type="dxa" w:w="9071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402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Целевой ориентир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Портфель</w:t>
            </w:r>
          </w:p>
        </w:tc>
        <w:tc>
          <w:tcPr>
            <w:tcW w:type="dxa" w:w="907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доля проектов с заказчиком, владельцем, воротами и метрикой эффекта</w:t>
            </w:r>
          </w:p>
        </w:tc>
        <w:tc>
          <w:tcPr>
            <w:tcW w:type="dxa" w:w="34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≥ 90%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Срок</w:t>
            </w:r>
          </w:p>
        </w:tc>
        <w:tc>
          <w:tcPr>
            <w:tcW w:type="dxa" w:w="907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медианное время от постановки задачи до первого прототипа</w:t>
            </w:r>
          </w:p>
        </w:tc>
        <w:tc>
          <w:tcPr>
            <w:tcW w:type="dxa" w:w="34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снижение на 25–35%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Внедрение</w:t>
            </w:r>
          </w:p>
        </w:tc>
        <w:tc>
          <w:tcPr>
            <w:tcW w:type="dxa" w:w="907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доля проектов, дошедших до пилота и внедрения</w:t>
            </w:r>
          </w:p>
        </w:tc>
        <w:tc>
          <w:tcPr>
            <w:tcW w:type="dxa" w:w="34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рост не менее чем в 1,5 раза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Испытания</w:t>
            </w:r>
          </w:p>
        </w:tc>
        <w:tc>
          <w:tcPr>
            <w:tcW w:type="dxa" w:w="907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доля результатов с независимыми протоколами и метрологией</w:t>
            </w:r>
          </w:p>
        </w:tc>
        <w:tc>
          <w:tcPr>
            <w:tcW w:type="dxa" w:w="34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≥ 95%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Ресурсы</w:t>
            </w:r>
          </w:p>
        </w:tc>
        <w:tc>
          <w:tcPr>
            <w:tcW w:type="dxa" w:w="907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загрузка критического оборудования и ЦКП</w:t>
            </w:r>
          </w:p>
        </w:tc>
        <w:tc>
          <w:tcPr>
            <w:tcW w:type="dxa" w:w="34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рост при снижении очередей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Кадры</w:t>
            </w:r>
          </w:p>
        </w:tc>
        <w:tc>
          <w:tcPr>
            <w:tcW w:type="dxa" w:w="907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доля проектов без незакрытых критических компетенций</w:t>
            </w:r>
          </w:p>
        </w:tc>
        <w:tc>
          <w:tcPr>
            <w:tcW w:type="dxa" w:w="34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≥ 85%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Данные</w:t>
            </w:r>
          </w:p>
        </w:tc>
        <w:tc>
          <w:tcPr>
            <w:tcW w:type="dxa" w:w="907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полнота паспортов узлов и гиперрёбер</w:t>
            </w:r>
          </w:p>
        </w:tc>
        <w:tc>
          <w:tcPr>
            <w:tcW w:type="dxa" w:w="34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≥ 90% по пилотам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НМА</w:t>
            </w:r>
          </w:p>
        </w:tc>
        <w:tc>
          <w:tcPr>
            <w:tcW w:type="dxa" w:w="907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число результатов с определённым режимом IP и моделью использования</w:t>
            </w:r>
          </w:p>
        </w:tc>
        <w:tc>
          <w:tcPr>
            <w:tcW w:type="dxa" w:w="34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100% значимых результатов</w:t>
            </w:r>
          </w:p>
        </w:tc>
      </w:tr>
      <w:tr>
        <w:tc>
          <w:tcPr>
            <w:tcW w:type="dxa" w:w="2608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Партнёры</w:t>
            </w:r>
          </w:p>
        </w:tc>
        <w:tc>
          <w:tcPr>
            <w:tcW w:type="dxa" w:w="9071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доля пилотов с подписанной моделью внедрения и эффекта</w:t>
            </w:r>
          </w:p>
        </w:tc>
        <w:tc>
          <w:tcPr>
            <w:tcW w:type="dxa" w:w="34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≥ 80%</w:t>
            </w:r>
          </w:p>
        </w:tc>
      </w:tr>
      <w:tr>
        <w:tc>
          <w:tcPr>
            <w:tcW w:type="dxa" w:w="2608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Эффект</w:t>
            </w:r>
          </w:p>
        </w:tc>
        <w:tc>
          <w:tcPr>
            <w:tcW w:type="dxa" w:w="9071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подтверждённый научный, технологический, экономический или общественный результат</w:t>
            </w:r>
          </w:p>
        </w:tc>
        <w:tc>
          <w:tcPr>
            <w:tcW w:type="dxa" w:w="34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по каждому завершённому пилоту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20. РИСКИ И ПРЕДОХРАНИТЕЛИ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Что может превратить гиперграф в формальность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2835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5102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Проявление</w:t>
            </w:r>
          </w:p>
        </w:tc>
        <w:tc>
          <w:tcPr>
            <w:tcW w:type="dxa" w:w="7143"/>
            <w:shd w:fill="123B73"/>
            <w:tcMar>
              <w:top w:w="100" w:type="dxa"/>
              <w:start w:w="85" w:type="dxa"/>
              <w:bottom w:w="100" w:type="dxa"/>
              <w:end w:w="85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Предохранитель</w:t>
            </w:r>
          </w:p>
        </w:tc>
      </w:tr>
      <w:tr>
        <w:tc>
          <w:tcPr>
            <w:tcW w:type="dxa" w:w="28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Параллельная бюрократия</w:t>
            </w:r>
          </w:p>
        </w:tc>
        <w:tc>
          <w:tcPr>
            <w:tcW w:type="dxa" w:w="51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создание новых отчётов без изменения решений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реестр должен заменять дублирующие формы; правило «один факт — одна запись»</w:t>
            </w:r>
          </w:p>
        </w:tc>
      </w:tr>
      <w:tr>
        <w:tc>
          <w:tcPr>
            <w:tcW w:type="dxa" w:w="28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Размывание научной идентичности</w:t>
            </w:r>
          </w:p>
        </w:tc>
        <w:tc>
          <w:tcPr>
            <w:tcW w:type="dxa" w:w="51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проектная логика вытесняет школы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сохранение руководителей школ, научных семинаров и базового финансирования</w:t>
            </w:r>
          </w:p>
        </w:tc>
      </w:tr>
      <w:tr>
        <w:tc>
          <w:tcPr>
            <w:tcW w:type="dxa" w:w="28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Конфликт полномочий</w:t>
            </w:r>
          </w:p>
        </w:tc>
        <w:tc>
          <w:tcPr>
            <w:tcW w:type="dxa" w:w="51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неясно, кто решает по сквозной задаче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RACI-матрица, владелец гиперребра, фиксированные ворота</w:t>
            </w:r>
          </w:p>
        </w:tc>
      </w:tr>
      <w:tr>
        <w:tc>
          <w:tcPr>
            <w:tcW w:type="dxa" w:w="28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Низкое качество данных</w:t>
            </w:r>
          </w:p>
        </w:tc>
        <w:tc>
          <w:tcPr>
            <w:tcW w:type="dxa" w:w="51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цифровой ГРИД хранит неполные и несопоставимые сведения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справочники, идентификаторы, валидация, ответственность владельца данных</w:t>
            </w:r>
          </w:p>
        </w:tc>
      </w:tr>
      <w:tr>
        <w:tc>
          <w:tcPr>
            <w:tcW w:type="dxa" w:w="28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Закрытость подразделений</w:t>
            </w:r>
          </w:p>
        </w:tc>
        <w:tc>
          <w:tcPr>
            <w:tcW w:type="dxa" w:w="51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компетенции и оборудование остаются недоступными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правила внутреннего доступа и учёт загрузки</w:t>
            </w:r>
          </w:p>
        </w:tc>
      </w:tr>
      <w:tr>
        <w:tc>
          <w:tcPr>
            <w:tcW w:type="dxa" w:w="28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Пилоты без заказчика</w:t>
            </w:r>
          </w:p>
        </w:tc>
        <w:tc>
          <w:tcPr>
            <w:tcW w:type="dxa" w:w="51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результат не доходит до эксплуатации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пилот запускается только с площадкой, критериями приёмки и моделью эффекта</w:t>
            </w:r>
          </w:p>
        </w:tc>
      </w:tr>
      <w:tr>
        <w:tc>
          <w:tcPr>
            <w:tcW w:type="dxa" w:w="2835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Утечка знаний и ИС</w:t>
            </w:r>
          </w:p>
        </w:tc>
        <w:tc>
          <w:tcPr>
            <w:tcW w:type="dxa" w:w="5102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кооперация создаёт правовые риски</w:t>
            </w:r>
          </w:p>
        </w:tc>
        <w:tc>
          <w:tcPr>
            <w:tcW w:type="dxa" w:w="7143"/>
            <w:shd w:fill="FFFFFF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режимы доступа, договорные модели, защита НМА, журнал происхождения данных</w:t>
            </w:r>
          </w:p>
        </w:tc>
      </w:tr>
      <w:tr>
        <w:tc>
          <w:tcPr>
            <w:tcW w:type="dxa" w:w="2835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2D3D"/>
                <w:sz w:val="17"/>
              </w:rPr>
              <w:t>Перегрузка ключевых людей</w:t>
            </w:r>
          </w:p>
        </w:tc>
        <w:tc>
          <w:tcPr>
            <w:tcW w:type="dxa" w:w="5102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одни и те же эксперты включены во все связи</w:t>
            </w:r>
          </w:p>
        </w:tc>
        <w:tc>
          <w:tcPr>
            <w:tcW w:type="dxa" w:w="7143"/>
            <w:shd w:fill="F5FAFE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 w:val="0"/>
                <w:color w:val="1F2D3D"/>
                <w:sz w:val="17"/>
              </w:rPr>
              <w:t>видимость загрузки, резерв компетенций, обучение и делегирование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21. ПАКЕТ ОРГАНИЗАЦИОННЫХ ДОКУМЕНТОВ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Что необходимо оформить для запуска</w:t>
            </w:r>
          </w:p>
        </w:tc>
      </w:tr>
    </w:tbl>
    <w:p>
      <w:pPr>
        <w:spacing w:after="0"/>
      </w:pP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Концепция гиперграфа ИМАШ РАН и положение о матричном проектном контуре.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Регламент программно-портфельного совета и ворота жизненного цикла.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Положение об офисе главного конструктора и проектных ячейках.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Регламент Учетной группы, цифрового ГРИДа и владельцев данных.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Единый словарь узлов, гиперрёбер, статусов, ролей и идентификаторов.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Паспорта компетенций, оборудования, проектов, партнёров, НМА и результатов.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Методика 19 связанных балансов и сценарного анализа.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Типовое соглашение о пилоте, распределении прав, данных, рисков и эффекта.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Методика валидации результата и независимого подтверждения характеристик.</w:t>
      </w:r>
    </w:p>
    <w:p>
      <w:pPr>
        <w:pStyle w:val="ListNumber"/>
        <w:spacing w:after="40" w:line="252" w:lineRule="auto"/>
        <w:ind w:left="312" w:hanging="170"/>
      </w:pPr>
      <w:r>
        <w:rPr>
          <w:rFonts w:ascii="Liberation Sans" w:hAnsi="Liberation Sans" w:eastAsia="Liberation Sans"/>
          <w:color w:val="1F2D3D"/>
          <w:sz w:val="20"/>
        </w:rPr>
        <w:t>Положение о тиражировании, типовом проекте и передаче технологии.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1D6FC0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EAF4FC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Принцип документации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Каждый регламент должен отвечать на пять вопросов: какой объект управляется; кто владелец; какие данные обязательны; какое решение принимается; чем подтверждается результат.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22. РЕШЕНИЯ ДЛЯ ПЕРВОГО ШАГА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Пакет на ближайшие 30 дней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5103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4FC"/>
            <w:tcBorders>
              <w:top w:val="single" w:sz="7" w:color="1D6FC0"/>
              <w:start w:val="single" w:sz="7" w:color="1D6FC0"/>
              <w:bottom w:val="single" w:sz="7" w:color="1D6FC0"/>
              <w:end w:val="single" w:sz="7" w:color="1D6FC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Решение 1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утвердить гиперграф как пилотную управленческую модель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не изменять штатную структуру на первом этапе</w:t>
            </w:r>
          </w:p>
        </w:tc>
        <w:tc>
          <w:tcPr>
            <w:tcW w:type="dxa" w:w="5103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EAF7F1"/>
            <w:tcBorders>
              <w:top w:val="single" w:sz="7" w:color="208D69"/>
              <w:start w:val="single" w:sz="7" w:color="208D69"/>
              <w:bottom w:val="single" w:sz="7" w:color="208D69"/>
              <w:end w:val="single" w:sz="7" w:color="208D69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Решение 2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назначить руководителя программы и владельца цифрового ГРИДа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сформировать рабочую группу из науки, КБ, испытаний, ИТ, права и финансов</w:t>
            </w:r>
          </w:p>
        </w:tc>
        <w:tc>
          <w:tcPr>
            <w:tcW w:type="dxa" w:w="5103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2E7"/>
            <w:tcBorders>
              <w:top w:val="single" w:sz="7" w:color="D97822"/>
              <w:start w:val="single" w:sz="7" w:color="D97822"/>
              <w:bottom w:val="single" w:sz="7" w:color="D97822"/>
              <w:end w:val="single" w:sz="7" w:color="D97822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Решение 3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выбрать 3–4 пилота с реальными заказчиками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для каждого утвердить проектную ячейку, ворота и метрики</w:t>
            </w:r>
          </w:p>
        </w:tc>
      </w:tr>
      <w:tr>
        <w:tc>
          <w:tcPr>
            <w:tcW w:type="dxa" w:w="5103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2ECFA"/>
            <w:tcBorders>
              <w:top w:val="single" w:sz="7" w:color="7853B8"/>
              <w:start w:val="single" w:sz="7" w:color="7853B8"/>
              <w:bottom w:val="single" w:sz="7" w:color="7853B8"/>
              <w:end w:val="single" w:sz="7" w:color="7853B8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Решение 4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утвердить минимальный набор реестров и 19 балансов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начать с пилотов и критических ресурсов</w:t>
            </w:r>
          </w:p>
        </w:tc>
        <w:tc>
          <w:tcPr>
            <w:tcW w:type="dxa" w:w="5103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FF8E4"/>
            <w:tcBorders>
              <w:top w:val="single" w:sz="7" w:color="C89820"/>
              <w:start w:val="single" w:sz="7" w:color="C89820"/>
              <w:bottom w:val="single" w:sz="7" w:color="C89820"/>
              <w:end w:val="single" w:sz="7" w:color="C89820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Решение 5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провести первую сессию индустриальных и академических партнёров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собрать внешние задачи и площадки внедрения</w:t>
            </w:r>
          </w:p>
        </w:tc>
        <w:tc>
          <w:tcPr>
            <w:tcW w:type="dxa" w:w="5103"/>
            <w:vAlign w:val="top"/>
            <w:tcMar>
              <w:top w:w="110" w:type="dxa"/>
              <w:start w:w="140" w:type="dxa"/>
              <w:bottom w:w="100" w:type="dxa"/>
              <w:end w:w="140" w:type="dxa"/>
            </w:tcMar>
            <w:shd w:fill="FCECF0"/>
            <w:tcBorders>
              <w:top w:val="single" w:sz="7" w:color="C8465B"/>
              <w:start w:val="single" w:sz="7" w:color="C8465B"/>
              <w:bottom w:val="single" w:sz="7" w:color="C8465B"/>
              <w:end w:val="single" w:sz="7" w:color="C8465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23B73"/>
                <w:sz w:val="22"/>
              </w:rPr>
              <w:t>Решение 6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через 90 дней провести обзор результатов</w:t>
            </w:r>
          </w:p>
          <w:p>
            <w:pPr>
              <w:spacing w:after="30"/>
              <w:ind w:left="170" w:hanging="113"/>
            </w:pPr>
            <w:r>
              <w:rPr>
                <w:rFonts w:ascii="Liberation Sans" w:hAnsi="Liberation Sans" w:eastAsia="Liberation Sans"/>
                <w:color w:val="1F2D3D"/>
                <w:sz w:val="19"/>
              </w:rPr>
              <w:t>• оставить только работающие процессы, убрать дублирование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1A94A5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E8F7FA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Итоговая формула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ИМАШ РАН = научные школы × программные комплексы × сквозные платформы × внешние контуры × цифровой ГРИД. Проектная ячейка собирает эту формулу под конкретный измеримый результат.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Приложение А. Внешние контуры — обзорная инфографика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нешние_контуры_имаш_ран_гиперграф_кооперации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Использовать как рабочую карту для сессии с государственными, академическими, индустриальными, региональными, образовательными, финансовыми и цифровыми партнёрами.</w:t>
      </w: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Приложение Б. Внутренние контуры — обзорная инфографика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иперграфы_имаш_ран_внутренние_контур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Использовать для настройки проектных ячеек, платформ и единого цифрового ГРИДа.</w:t>
      </w: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Приложение В. Единый путь результата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иперграф_имаш_ран_путь_результата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Использовать как основу регламента жизненного цикла и ворота принятия решений.</w:t>
      </w:r>
    </w:p>
    <w:p>
      <w:r>
        <w:br w:type="page"/>
      </w:r>
    </w:p>
    <w:p>
      <w:pPr>
        <w:keepNext/>
        <w:spacing w:before="0" w:after="120"/>
        <w:pBdr>
          <w:bottom w:val="single" w:sz="10" w:space="2" w:color="123B73"/>
        </w:pBdr>
      </w:pPr>
      <w:r>
        <w:rPr>
          <w:rFonts w:ascii="Liberation Sans" w:hAnsi="Liberation Sans" w:eastAsia="Liberation Sans"/>
          <w:b/>
          <w:color w:val="123B73"/>
          <w:sz w:val="36"/>
        </w:rPr>
        <w:t>Приложение Г. Ключевые гиперрёбра управления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9432000" cy="530832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иперграфы_имаш_ран_контуры_управлени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8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18"/>
        </w:rPr>
        <w:t>Использовать как основу паспорта связи и матрицы ответственности.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123B73"/>
            <w:tcMar>
              <w:top w:w="135" w:type="dxa"/>
              <w:start w:w="220" w:type="dxa"/>
              <w:bottom w:w="125" w:type="dxa"/>
              <w:end w:w="22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FFFFFF"/>
                <w:sz w:val="44"/>
              </w:rPr>
              <w:t>ЗАКЛЮЧЕНИЕ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DCEBFA"/>
                <w:sz w:val="19"/>
              </w:rPr>
              <w:t>От структуры подразделений — к управляемой связанности</w:t>
            </w:r>
          </w:p>
        </w:tc>
      </w:tr>
    </w:tbl>
    <w:p>
      <w:pPr>
        <w:spacing w:after="0"/>
      </w:pPr>
    </w:p>
    <w:p>
      <w:pPr>
        <w:keepNext w:val="0"/>
        <w:spacing w:before="320" w:after="240" w:line="259" w:lineRule="auto"/>
        <w:jc w:val="center"/>
      </w:pPr>
      <w:r>
        <w:rPr>
          <w:rFonts w:ascii="Liberation Sans" w:hAnsi="Liberation Sans" w:eastAsia="Liberation Sans"/>
          <w:b/>
          <w:color w:val="123B73"/>
          <w:sz w:val="26"/>
        </w:rPr>
        <w:t>Гиперграф не отменяет организационную структуру. Он делает видимым то, что обычная оргсхема скрывает: совместную работу нескольких подразделений и внешних партнёров над одним результатом. Для ИМАШ РАН это означает переход к институту-конструктору полного цикла — без разрушения научных школ, но с чёткой сборкой заказа, компетенций, оборудования, данных, испытаний, стандартов и внедрения.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"/>
        <w:gridCol w:w="14457"/>
      </w:tblGrid>
      <w:tr>
        <w:tc>
          <w:tcPr>
            <w:tcW w:type="dxa" w:w="7654"/>
            <w:shd w:fill="208D69"/>
            <w:tcBorders>
              <w:top w:val="nil"/>
              <w:start w:val="nil"/>
              <w:bottom w:val="nil"/>
              <w:end w:val="nil"/>
            </w:tcBorders>
          </w:tcPr>
          <w:p/>
        </w:tc>
        <w:tc>
          <w:tcPr>
            <w:tcW w:type="dxa" w:w="7654"/>
            <w:shd w:fill="EAF7F1"/>
            <w:tcBorders>
              <w:top w:val="nil"/>
              <w:start w:val="nil"/>
              <w:bottom w:val="nil"/>
              <w:end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123B73"/>
                <w:sz w:val="23"/>
              </w:rPr>
              <w:t>Главный управленческий тезис</w:t>
            </w:r>
          </w:p>
          <w:p>
            <w:pPr>
              <w:spacing w:before="40" w:after="0"/>
            </w:pPr>
            <w:r>
              <w:rPr>
                <w:rFonts w:ascii="Liberation Sans" w:hAnsi="Liberation Sans" w:eastAsia="Liberation Sans"/>
                <w:color w:val="1F2D3D"/>
                <w:sz w:val="20"/>
              </w:rPr>
              <w:t>Сильные подразделения становятся сильным институтом только тогда, когда ключевые связи между ними и внешней средой имеют владельцев, данные, правила и доказательства результата.</w:t>
            </w:r>
          </w:p>
        </w:tc>
      </w:tr>
    </w:tbl>
    <w:p>
      <w:pPr>
        <w:spacing w:after="0"/>
      </w:pPr>
    </w:p>
    <w:p>
      <w:pPr>
        <w:keepNext w:val="0"/>
        <w:spacing w:before="320" w:after="0" w:line="259" w:lineRule="auto"/>
        <w:jc w:val="center"/>
      </w:pPr>
      <w:r>
        <w:rPr>
          <w:rFonts w:ascii="Liberation Sans" w:hAnsi="Liberation Sans" w:eastAsia="Liberation Sans"/>
          <w:b w:val="0"/>
          <w:color w:val="66758A"/>
          <w:sz w:val="20"/>
        </w:rPr>
        <w:t>Рабочая концепция • ИМАШ РАН • 2026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09" w:right="765" w:bottom="680" w:left="76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 w:eastAsia="Liberation Sans"/>
        <w:color w:val="66758A"/>
        <w:sz w:val="16"/>
      </w:rPr>
      <w:t xml:space="preserve">Рабочая концепция • 2026   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Liberation Sans" w:hAnsi="Liberation Sans" w:eastAsia="Liberation Sans"/>
        <w:b/>
        <w:color w:val="1D6FC0"/>
        <w:sz w:val="16"/>
      </w:rPr>
      <w:t>ИМАШ РАН  |  ГИПЕРГРАФЫ И ВНЕШНИЕ КОНТУРЫ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Liberation Sans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Liberation Sans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Гиперграфы ИМАШ РАН: внешние контуры и единый контур результата</dc:title>
  <dc:subject>Рабочая концепция проектно-матричной модели и цифрового ГРИДа</dc:subject>
  <dc:creator>Рабочая группа проекта «Машиноведение»</dc:creator>
  <cp:keywords>ИМАШ РАН, гиперграф, внешние контуры, институт-конструктор, цифровой ГРИД</cp:keywords>
  <dc:description>Проектный аналитический материал; не является утвержденной организационной структурой.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