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ЭКВИЛИБРИУМ</w:t>
      </w:r>
    </w:p>
    <w:p>
      <w:pPr>
        <w:pStyle w:val="Subtitle"/>
      </w:pPr>
      <w:r>
        <w:t>Концепция системы согласованного развития</w:t>
      </w:r>
    </w:p>
    <w:p>
      <w:r>
        <w:t>Представительский обзор для организаций, территорий, научных коллективов и партнёров</w:t>
      </w:r>
    </w:p>
    <w:p>
      <w:pPr>
        <w:pStyle w:val="Heading2"/>
      </w:pPr>
      <w:r>
        <w:t>Предложение</w:t>
      </w:r>
    </w:p>
    <w:p>
      <w:r>
        <w:t>Мы предлагаем объединять проекты развития вокруг потребностей человека и проверяемого состояния территории. ЭКВИЛИБРИУМ связывает наблюдение, выбор решений, ресурсы и ответственность за результат. Практический вход в сотрудничество — совместный пилот с согласованными границами и независимой проверкой.</w:t>
      </w:r>
    </w:p>
    <w:p>
      <w:pPr>
        <w:pStyle w:val="Heading2"/>
      </w:pPr>
      <w:r>
        <w:t>Зачем нужна система</w:t>
      </w:r>
    </w:p>
    <w:p>
      <w:r>
        <w:t>Вода, энергия, производство, здоровье и социальная среда зависят друг от друга. Решение в одной сфере может создавать дефицит или дополнительную нагрузку в другой. Общая система балансов помогает увидеть эти связи до принятия обязательств и проверить последствия после выполнения работ.</w:t>
      </w:r>
    </w:p>
    <w:p>
      <w:pPr>
        <w:pStyle w:val="Heading2"/>
      </w:pPr>
      <w:r>
        <w:t>Цель</w:t>
      </w:r>
    </w:p>
    <w:p>
      <w:r>
        <w:t>Сохранять и развивать условия достойной жизни человека, преемственность поколений и способность живых систем к восстановлению. Пользу проекта предлагается оценивать через реальные изменения для людей и среды.</w:t>
      </w:r>
    </w:p>
    <w:p>
      <w:pPr>
        <w:pStyle w:val="Heading2"/>
      </w:pPr>
      <w:r>
        <w:t>Статус и инициатор</w:t>
      </w:r>
    </w:p>
    <w:p>
      <w:r>
        <w:t>Инициатор концепции — Соколов Сергей Леонидович. Материалы представляют проектную архитектуру и предложение к сотрудничеству. Готовность модулей, участники, полномочия и финансирование определяются в паспорте конкретного пилота.</w:t>
      </w:r>
    </w:p>
    <w:p>
      <w:r>
        <w:t>Предлагаемый первый шаг: рабочая встреча, выбор одной задачи и подготовка паспорта пилота на 90 дней. Срок отсчитывается от согласованного старта.</w:t>
      </w:r>
    </w:p>
    <w:p>
      <w:r>
        <w:br w:type="page"/>
      </w:r>
    </w:p>
    <w:p>
      <w:pPr>
        <w:pStyle w:val="Heading1"/>
      </w:pPr>
      <w:r>
        <w:t>Архитектура и ответственность</w:t>
      </w:r>
    </w:p>
    <w:p>
      <w:r>
        <w:t>Каждый модуль имеет определённый выход, который следующий участник может проверить и использовать. Предлагаемые роли подлежат согласованию с участниками проекта.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Модуль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Назначение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ЭКВИЛИБРИУМ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Наблюдение, 19 балансов, сценарии и обратная связь.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СФЕРА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Согласование целей, состава участников и порядка работы.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ECO-PPA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Связь ресурсов, обязательств, полезной работы и приёмки результата.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СПЕЦЗАЩИТА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Предлагаемый исполнительский контур кооперации и сопровождения.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Государственный Конструктор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Согласование программ, технологий, территорий и инфраструктуры.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ИАЦ и Вычислительный ГРИД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Аналитика, экспертиза и воспроизводимые расчёты.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ОРИОН 22:22 и ЕУТ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Проектная память, доказательства, формуляры и правила обмена.</w:t>
            </w:r>
          </w:p>
        </w:tc>
      </w:tr>
    </w:tbl>
    <w:p>
      <w:pPr>
        <w:pStyle w:val="Heading2"/>
      </w:pPr>
      <w:r>
        <w:t>Разделение функций</w:t>
      </w:r>
    </w:p>
    <w:p>
      <w:r>
        <w:t>Владелец результата утверждает цель и критерии приёмки. Исполнитель организует работы. Владелец данных отвечает за их качество и доступность. Независимый проверяющий оценивает доказательства, а представители получателей результата дают обратную связь.</w:t>
      </w:r>
    </w:p>
    <w:p>
      <w:r>
        <w:t>Координационная группа фиксирует решения и изменения плана. Совмещение ролей раскрывается заранее, а исполнитель не подтверждает свой результат единолично.</w:t>
      </w:r>
    </w:p>
    <w:p>
      <w:r>
        <w:br w:type="page"/>
      </w:r>
    </w:p>
    <w:p>
      <w:pPr>
        <w:pStyle w:val="Heading1"/>
      </w:pPr>
      <w:r>
        <w:t>Девятнадцать направлений</w:t>
      </w:r>
    </w:p>
    <w:p>
      <w:r>
        <w:t>Порядок направлений принят по документу «Основы Нового Уклада» от 16 сентября 2026 года. У проекта есть основное направление и карта воздействий на остальные.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48"/>
        <w:gridCol w:w="4248"/>
        <w:gridCol w:w="648"/>
        <w:gridCol w:w="4248"/>
      </w:tblGrid>
      <w:t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Код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Направление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Код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Направление</w:t>
            </w:r>
          </w:p>
        </w:tc>
      </w:tr>
      <w:t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01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Человек и здоровье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Промышленность</w:t>
            </w:r>
          </w:p>
        </w:tc>
      </w:tr>
      <w:t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02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Образование и знания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Транспорт</w:t>
            </w:r>
          </w:p>
        </w:tc>
      </w:tr>
      <w:t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03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Естественный климат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13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Города и расселение</w:t>
            </w:r>
          </w:p>
        </w:tc>
      </w:tr>
      <w:t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04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Земля и почвы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Наука</w:t>
            </w:r>
          </w:p>
        </w:tc>
      </w:tr>
      <w:t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05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Вода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15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Цифровая среда и AI</w:t>
            </w:r>
          </w:p>
        </w:tc>
      </w:tr>
      <w:t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06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Воздух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Экономика и финансы</w:t>
            </w:r>
          </w:p>
        </w:tc>
      </w:tr>
      <w:t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07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Биоценозы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17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Социальная система</w:t>
            </w:r>
          </w:p>
        </w:tc>
      </w:tr>
      <w:t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08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Продовольствие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18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Безопасность и устойчивость</w:t>
            </w:r>
          </w:p>
        </w:tc>
      </w:tr>
      <w:t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09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Энергия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19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Управление развитием</w:t>
            </w:r>
          </w:p>
        </w:tc>
      </w:tr>
      <w:tr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Материалы</w:t>
            </w:r>
          </w:p>
        </w:tc>
        <w:tc>
          <w:tcPr>
            <w:tcW w:type="dxa" w:w="6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2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2"/>
      </w:pPr>
      <w:r>
        <w:t>Сквозные темы</w:t>
      </w:r>
    </w:p>
    <w:p>
      <w:r>
        <w:t>Дети, семья, культура, достойный труд, предпринимательство, кооперация и мирное сотрудничество учитываются в нескольких направлениях. Они входят в цели и критерии оценки конкретных проектов.</w:t>
      </w:r>
    </w:p>
    <w:p>
      <w:pPr>
        <w:pStyle w:val="Heading2"/>
      </w:pPr>
      <w:r>
        <w:t>Общая рамка при разных методах</w:t>
      </w:r>
    </w:p>
    <w:p>
      <w:r>
        <w:t>Для воды, энергии и материалов сверяются запасы и потоки. Для здоровья, качества среды, знаний и устойчивости применяются наборы показателей. Единицы измерения и методики сохраняются, а сводная оценка раскрывает свои исходные составляющие.</w:t>
      </w:r>
    </w:p>
    <w:p>
      <w:r>
        <w:br w:type="page"/>
      </w:r>
    </w:p>
    <w:p>
      <w:pPr>
        <w:pStyle w:val="Heading1"/>
      </w:pPr>
      <w:r>
        <w:t>Балансы и подтверждение результата</w:t>
      </w:r>
    </w:p>
    <w:p>
      <w:r>
        <w:t>Баланс описывает исходное состояние, потребность, доступные ресурсы, дефицит и ограничения за определённый период. У каждой записи есть источник, единицы измерения, ответственный и дата обновления.</w:t>
      </w:r>
    </w:p>
    <w:p>
      <w:pPr>
        <w:pStyle w:val="Heading2"/>
      </w:pPr>
      <w:r>
        <w:t>Порядок работы</w:t>
      </w:r>
    </w:p>
    <w:p>
      <w:pPr>
        <w:pStyle w:val="Heading2"/>
      </w:pPr>
      <w:r>
        <w:t>1  Исходное состояние</w:t>
      </w:r>
    </w:p>
    <w:p>
      <w:r>
        <w:t>Команда определяет границы объекта и проверяет доступные данные. Пробелы и неопределённость фиксируются явно.</w:t>
      </w:r>
    </w:p>
    <w:p>
      <w:pPr>
        <w:pStyle w:val="Heading2"/>
      </w:pPr>
      <w:r>
        <w:t>2  Выбор решения</w:t>
      </w:r>
    </w:p>
    <w:p>
      <w:r>
        <w:t>Участники сравнивают варианты по пользе, ресурсам, рискам и воздействию на связанные направления.</w:t>
      </w:r>
    </w:p>
    <w:p>
      <w:pPr>
        <w:pStyle w:val="Heading2"/>
      </w:pPr>
      <w:r>
        <w:t>3  Обязательства и исполнение</w:t>
      </w:r>
    </w:p>
    <w:p>
      <w:r>
        <w:t>Паспорт закрепляет ответственных, ресурсы, сроки и условия остановки. Изменения проходят согласование.</w:t>
      </w:r>
    </w:p>
    <w:p>
      <w:pPr>
        <w:pStyle w:val="Heading2"/>
      </w:pPr>
      <w:r>
        <w:t>4  Приёмка и обратная связь</w:t>
      </w:r>
    </w:p>
    <w:p>
      <w:r>
        <w:t>Проверяющий сопоставляет результат с исходным состоянием и критериями. Команда сохраняет доказательства и обновляет баланс.</w:t>
      </w:r>
    </w:p>
    <w:p>
      <w:pPr>
        <w:pStyle w:val="Heading2"/>
      </w:pPr>
      <w:r>
        <w:t>Связанные балансы</w:t>
      </w:r>
    </w:p>
    <w:p>
      <w:r>
        <w:t>Матрица 19 × 19 описывает направленные влияния между сферами. Для связи указывают механизм, период и статус: наблюдение, расчёт или гипотеза. Повторное использование доказательства не создаёт повторный учёт ресурса или эффекта.</w:t>
      </w:r>
    </w:p>
    <w:p>
      <w:pPr>
        <w:pStyle w:val="Heading2"/>
      </w:pPr>
      <w:r>
        <w:t>Кристалл 741</w:t>
      </w:r>
    </w:p>
    <w:p>
      <w:r>
        <w:t>В исходной редакции предложена адресная структура из 3 контуров, 19 направлений и 13 смысловых полей: 741 ячейка. Она организует ссылки на проектные записи. Матрица 13 × 20 служит дополнительной рамкой полноты описания и проверок. Для первого пилота достаточно согласованного формуляра и реестра доказательств.</w:t>
      </w:r>
    </w:p>
    <w:p>
      <w:r>
        <w:br w:type="page"/>
      </w:r>
    </w:p>
    <w:p>
      <w:pPr>
        <w:pStyle w:val="Heading1"/>
      </w:pPr>
      <w:r>
        <w:t>Первый совместный пилот</w:t>
      </w:r>
    </w:p>
    <w:p>
      <w:r>
        <w:t>Предлагаемый пример — водоснабжение объекта социальной инфраструктуры в программе «Живое Село». Территория и объект выбираются вместе с партнёром. Это сценарий применения, а не отчёт о выполненных работах.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Элемент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Предлагаемое содержание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Проблема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Перебои, потери или недостаточность данных о снабжении выбранного объекта.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Связанные направления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Вода, энергия, здоровье, инфраструктура, финансы и управление.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Исходные данные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Расход, качество воды, часы доступности, затраты энергии, состояние оборудования.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Решение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Сравнение вариантов ремонта, режима эксплуатации и учёта после обследования.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Критерий результата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Изменение согласованных показателей относительно исходного периода с учётом сезонности.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Приёмка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Измерения, документы о работах, независимая проверка и обратная связь пользователей.</w:t>
            </w:r>
          </w:p>
        </w:tc>
      </w:tr>
    </w:tbl>
    <w:p>
      <w:pPr>
        <w:pStyle w:val="Heading2"/>
      </w:pPr>
      <w:r>
        <w:t>Первые 90 дней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Период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Результат этапа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Дни 1–15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Состав участников, границы объекта и распределение ролей.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Дни 16–30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Исходный баланс, качество данных, варианты и критерии результата.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Дни 31–60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Согласованный план, ресурсное обеспечение и запуск ограниченных работ.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Дни 61–90</w:t>
            </w:r>
          </w:p>
        </w:tc>
        <w:tc>
          <w:tcPr>
            <w:tcW w:type="dxa" w:w="68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Первичная оценка, перечень корректировок и решение о продолжении.</w:t>
            </w:r>
          </w:p>
        </w:tc>
      </w:tr>
    </w:tbl>
    <w:p>
      <w:r>
        <w:t>За 90 дней предлагается проверить управленческий цикл. Срок подтверждения устойчивого эффекта зависит от характера работ и наблюдений.</w:t>
      </w:r>
    </w:p>
    <w:p>
      <w:r>
        <w:br w:type="page"/>
      </w:r>
    </w:p>
    <w:p>
      <w:pPr>
        <w:pStyle w:val="Heading1"/>
      </w:pPr>
      <w:r>
        <w:t>Условия сотрудничества</w:t>
      </w:r>
    </w:p>
    <w:p>
      <w:r>
        <w:t>Партнёр может предоставить задачу и площадку, данные, экспертизу, производственные возможности или согласованные ресурсы. До начала работ стороны определяют объём вклада, права на результаты и порядок сопровождения.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32"/>
        <w:gridCol w:w="3240"/>
        <w:gridCol w:w="4320"/>
      </w:tblGrid>
      <w:tr>
        <w:tc>
          <w:tcPr>
            <w:tcW w:type="dxa" w:w="22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Участник</w:t>
            </w:r>
          </w:p>
        </w:tc>
        <w:tc>
          <w:tcPr>
            <w:tcW w:type="dxa" w:w="32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Возможный вклад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F2F4"/>
          </w:tcPr>
          <w:p>
            <w:pPr>
              <w:spacing w:after="100" w:before="100"/>
            </w:pPr>
            <w:r>
              <w:rPr>
                <w:b/>
                <w:sz w:val="20"/>
              </w:rPr>
              <w:t>Что получает</w:t>
            </w:r>
          </w:p>
        </w:tc>
      </w:tr>
      <w:tr>
        <w:tc>
          <w:tcPr>
            <w:tcW w:type="dxa" w:w="22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Территория или организация</w:t>
            </w:r>
          </w:p>
        </w:tc>
        <w:tc>
          <w:tcPr>
            <w:tcW w:type="dxa" w:w="32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Объект, данные и владелец задачи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Паспорт проблемы и план согласованных действий.</w:t>
            </w:r>
          </w:p>
        </w:tc>
      </w:tr>
      <w:tr>
        <w:tc>
          <w:tcPr>
            <w:tcW w:type="dxa" w:w="22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Научный коллектив</w:t>
            </w:r>
          </w:p>
        </w:tc>
        <w:tc>
          <w:tcPr>
            <w:tcW w:type="dxa" w:w="32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Методики, исследования и экспертиза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Задачи для проверки и воспроизводимые данные.</w:t>
            </w:r>
          </w:p>
        </w:tc>
      </w:tr>
      <w:tr>
        <w:tc>
          <w:tcPr>
            <w:tcW w:type="dxa" w:w="22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Производственный партнёр</w:t>
            </w:r>
          </w:p>
        </w:tc>
        <w:tc>
          <w:tcPr>
            <w:tcW w:type="dxa" w:w="32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Технологии, оборудование и работы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Понятные требования и критерии приёмки.</w:t>
            </w:r>
          </w:p>
        </w:tc>
      </w:tr>
      <w:tr>
        <w:tc>
          <w:tcPr>
            <w:tcW w:type="dxa" w:w="22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Ресурсный партнёр</w:t>
            </w:r>
          </w:p>
        </w:tc>
        <w:tc>
          <w:tcPr>
            <w:tcW w:type="dxa" w:w="32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Ресурсы на согласованный этап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Прослеживаемый учёт использования и результата.</w:t>
            </w:r>
          </w:p>
        </w:tc>
      </w:tr>
      <w:tr>
        <w:tc>
          <w:tcPr>
            <w:tcW w:type="dxa" w:w="22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Сообщество</w:t>
            </w:r>
          </w:p>
        </w:tc>
        <w:tc>
          <w:tcPr>
            <w:tcW w:type="dxa" w:w="32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Описание потребностей и обратная связь</w:t>
            </w:r>
          </w:p>
        </w:tc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Участие в выборе приоритетов и оценке изменений.</w:t>
            </w:r>
          </w:p>
        </w:tc>
      </w:tr>
    </w:tbl>
    <w:p>
      <w:pPr>
        <w:pStyle w:val="Heading2"/>
      </w:pPr>
      <w:r>
        <w:t>Решения первой встречи</w:t>
      </w:r>
    </w:p>
    <w:p>
      <w:r>
        <w:t>Выбрать задачу и объект. Назначить координаторов. Согласовать доступ к исходным данным. Определить состав паспорта, порядок экспертизы и дату решения о запуске. Объём ресурсов рассчитывается после обследования и подтверждается отдельным соглашением.</w:t>
      </w:r>
    </w:p>
    <w:p>
      <w:pPr>
        <w:pStyle w:val="Heading2"/>
      </w:pPr>
      <w:r>
        <w:t>Основа пакета</w:t>
      </w:r>
    </w:p>
    <w:p>
      <w:r>
        <w:t>«Основы Нового Уклада ЭКВИЛИБРИУМ», рабочая редакция 1.0 от 16.09.2026. «Конструктор Мира», мастер-концепция, сентябрь 2026. При различиях классификации в этом пакете применяется более поздний перечень из «Основ».</w:t>
      </w:r>
    </w:p>
    <w:p>
      <w:r>
        <w:t>Настоящая редакция не заявляет о заключённых партнёрствах, утверждённой государственной программе или подтверждённом финансировании. Конкретные обязательства возникают после согласования сторонами.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19 сентября 2026    ·    Редакция 1.0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ЭКВИЛИБРИУМ    /    ПРЕДСТАВИТЕЛЬСКИЕ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