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C3E74"/>
          <w:sz w:val="48"/>
        </w:rPr>
        <w:t>АНАЛИЗ МИРОВЫХ БАЛАНСОВ — 130 ЛЕТ</w:t>
      </w:r>
    </w:p>
    <w:p>
      <w:pPr>
        <w:jc w:val="center"/>
      </w:pPr>
      <w:r>
        <w:rPr>
          <w:color w:val="B88426"/>
          <w:sz w:val="24"/>
        </w:rPr>
        <w:t>Эволюция человека, ресурсов, технологий, экономики и цивилизации · ЭКВИЛИБРИУМ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9360" cy="35509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анализ_мировых_балансов_130_лет_сочетаний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550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sz w:val="21"/>
        </w:rPr>
        <w:t>Назначение документа — дать целостный анализ мировых балансов за 130 лет и показать, почему следующий этап развития требует не одномерных рейтингов ВВП, а многомерной системы учета: человек, энергия, вода, земля, знания, технологии, культура, безопасность и межпоколенческая устойчивость.</w:t>
      </w:r>
    </w:p>
    <w:p>
      <w:pPr>
        <w:spacing w:after="120"/>
      </w:pPr>
      <w:r>
        <w:rPr>
          <w:sz w:val="21"/>
        </w:rPr>
        <w:t>Методологическая оговорка — ряд долгосрочных сравнений представлен как аналитические индексы и качественные профили, а не как официальная статистика. Числа для оперативного управления должны уточняться по национальным счетам, энергетической статистике, демографии и экологическому мониторингу.</w:t>
      </w:r>
    </w:p>
    <w:p>
      <w:pPr>
        <w:pStyle w:val="Heading1"/>
      </w:pPr>
      <w:r>
        <w:rPr>
          <w:rFonts w:ascii="Arial" w:hAnsi="Arial"/>
          <w:color w:val="0C3E74"/>
        </w:rPr>
        <w:t>1. Исполнительное резюме</w:t>
      </w:r>
    </w:p>
    <w:p>
      <w:pPr>
        <w:spacing w:after="120"/>
      </w:pPr>
      <w:r>
        <w:rPr>
          <w:sz w:val="21"/>
        </w:rPr>
        <w:t>За 130 лет центр мировой силы сместился от контроля сырья, колоний и фабрик к контролю знаний, энергии, данных, производственных цепочек и управляемых экосистем.</w:t>
      </w:r>
    </w:p>
    <w:p>
      <w:pPr>
        <w:spacing w:after="120"/>
      </w:pPr>
      <w:r>
        <w:rPr>
          <w:sz w:val="21"/>
        </w:rPr>
        <w:t>Главный дисбаланс старого уклада: рост производства быстрее роста ответственности за воду, землю, здоровье, культуру и долгосрочную устойчивость.</w:t>
      </w:r>
    </w:p>
    <w:p>
      <w:pPr>
        <w:spacing w:after="120"/>
      </w:pPr>
      <w:r>
        <w:rPr>
          <w:sz w:val="21"/>
        </w:rPr>
        <w:t>Переход к Новому Укладу требует измерять не только объем экономики, но и качество жизни, воспроизводство природных ресурсов, научную мощность, связанность инфраструктуры и доверие.</w:t>
      </w:r>
    </w:p>
    <w:p>
      <w:pPr>
        <w:spacing w:after="120"/>
      </w:pPr>
      <w:r>
        <w:rPr>
          <w:sz w:val="21"/>
        </w:rPr>
        <w:t>Россия, Китай, США и Европа обладают разными типами силы. Синхронизация их сильных сторон теоретически дает эффект больше, чем конкуренция через истощение ресурсов.</w:t>
      </w:r>
    </w:p>
    <w:p>
      <w:pPr>
        <w:spacing w:after="120"/>
      </w:pPr>
      <w:r>
        <w:rPr>
          <w:sz w:val="21"/>
        </w:rPr>
        <w:t>ЭКВИЛИБРИУМ предлагает метод: 19 связанных балансов, многомерные рейтинги, цифровые паспорта проектов, архив доказательств и вычислительный ГРИД для сценарного анализа.</w:t>
      </w:r>
    </w:p>
    <w:p>
      <w:pPr>
        <w:pStyle w:val="Heading1"/>
      </w:pPr>
      <w:r>
        <w:rPr>
          <w:rFonts w:ascii="Arial" w:hAnsi="Arial"/>
          <w:color w:val="0C3E74"/>
        </w:rPr>
        <w:t>2. Периодизация 1895–2025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296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208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Логика эпохи</w:t>
            </w:r>
          </w:p>
        </w:tc>
        <w:tc>
          <w:tcPr>
            <w:tcW w:type="dxa" w:w="3456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Двигатель развития</w:t>
            </w:r>
          </w:p>
        </w:tc>
        <w:tc>
          <w:tcPr>
            <w:tcW w:type="dxa" w:w="360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Главный дисбаланс</w:t>
            </w:r>
          </w:p>
        </w:tc>
      </w:tr>
      <w:tr>
        <w:tc>
          <w:tcPr>
            <w:tcW w:type="dxa" w:w="129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1895–1914</w:t>
            </w:r>
          </w:p>
        </w:tc>
        <w:tc>
          <w:tcPr>
            <w:tcW w:type="dxa" w:w="20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Индустриальный разгон</w:t>
            </w:r>
          </w:p>
        </w:tc>
        <w:tc>
          <w:tcPr>
            <w:tcW w:type="dxa" w:w="345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Пар, сталь, железные дороги, электричество, телеграф; рост имперских рынков.</w:t>
            </w:r>
          </w:p>
        </w:tc>
        <w:tc>
          <w:tcPr>
            <w:tcW w:type="dxa" w:w="360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Ресурсы и производство быстрее институтов; колониальная асимметрия; социальное напряжение.</w:t>
            </w:r>
          </w:p>
        </w:tc>
      </w:tr>
      <w:tr>
        <w:tc>
          <w:tcPr>
            <w:tcW w:type="dxa" w:w="129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1914–1945</w:t>
            </w:r>
          </w:p>
        </w:tc>
        <w:tc>
          <w:tcPr>
            <w:tcW w:type="dxa" w:w="20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Эпоха мировых войн</w:t>
            </w:r>
          </w:p>
        </w:tc>
        <w:tc>
          <w:tcPr>
            <w:tcW w:type="dxa" w:w="345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Мобилизационная промышленность, нефть, авиация, радио, массовая армия.</w:t>
            </w:r>
          </w:p>
        </w:tc>
        <w:tc>
          <w:tcPr>
            <w:tcW w:type="dxa" w:w="360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Крушение старых империй; военная логика доминирует над экономикой; цена ошибки измеряется поколениями.</w:t>
            </w:r>
          </w:p>
        </w:tc>
      </w:tr>
      <w:tr>
        <w:tc>
          <w:tcPr>
            <w:tcW w:type="dxa" w:w="129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1945–1970</w:t>
            </w:r>
          </w:p>
        </w:tc>
        <w:tc>
          <w:tcPr>
            <w:tcW w:type="dxa" w:w="20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Послевоенное восстановление</w:t>
            </w:r>
          </w:p>
        </w:tc>
        <w:tc>
          <w:tcPr>
            <w:tcW w:type="dxa" w:w="345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Инфраструктурный рывок, атомная энергетика, институты ООН/Бреттон-Вудса, начало космической эры.</w:t>
            </w:r>
          </w:p>
        </w:tc>
        <w:tc>
          <w:tcPr>
            <w:tcW w:type="dxa" w:w="360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Рост качества жизни в индустриальных центрах при новой зависимости от энергии и сырья.</w:t>
            </w:r>
          </w:p>
        </w:tc>
      </w:tr>
      <w:tr>
        <w:tc>
          <w:tcPr>
            <w:tcW w:type="dxa" w:w="129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1970–1991</w:t>
            </w:r>
          </w:p>
        </w:tc>
        <w:tc>
          <w:tcPr>
            <w:tcW w:type="dxa" w:w="20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Холодная война и техногонка</w:t>
            </w:r>
          </w:p>
        </w:tc>
        <w:tc>
          <w:tcPr>
            <w:tcW w:type="dxa" w:w="345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Нефтяные шоки, вычислительные системы, спутники, системное планирование и военно-промышленные комплексы.</w:t>
            </w:r>
          </w:p>
        </w:tc>
        <w:tc>
          <w:tcPr>
            <w:tcW w:type="dxa" w:w="360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Гонка технологий без достаточной экологической обратной связи; высокая стоимость блоковой конфронтации.</w:t>
            </w:r>
          </w:p>
        </w:tc>
      </w:tr>
      <w:tr>
        <w:tc>
          <w:tcPr>
            <w:tcW w:type="dxa" w:w="129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1991–2020</w:t>
            </w:r>
          </w:p>
        </w:tc>
        <w:tc>
          <w:tcPr>
            <w:tcW w:type="dxa" w:w="20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Глобализация и цифровой переход</w:t>
            </w:r>
          </w:p>
        </w:tc>
        <w:tc>
          <w:tcPr>
            <w:tcW w:type="dxa" w:w="345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Контейнерная логистика, интернет, финансовые рынки, платформенные корпорации, быстрый рост Китая.</w:t>
            </w:r>
          </w:p>
        </w:tc>
        <w:tc>
          <w:tcPr>
            <w:tcW w:type="dxa" w:w="360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Высокая эффективность цепочек ценности, но уязвимость к шокам, санкциям и концентрации данных.</w:t>
            </w:r>
          </w:p>
        </w:tc>
      </w:tr>
      <w:tr>
        <w:tc>
          <w:tcPr>
            <w:tcW w:type="dxa" w:w="129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2020–2025</w:t>
            </w:r>
          </w:p>
        </w:tc>
        <w:tc>
          <w:tcPr>
            <w:tcW w:type="dxa" w:w="20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Порог Нового Уклада</w:t>
            </w:r>
          </w:p>
        </w:tc>
        <w:tc>
          <w:tcPr>
            <w:tcW w:type="dxa" w:w="345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Пандемия, санкционные контуры, энергетическая перестройка, ИИ, электрификация, климатические риски.</w:t>
            </w:r>
          </w:p>
        </w:tc>
        <w:tc>
          <w:tcPr>
            <w:tcW w:type="dxa" w:w="360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Переход от одномерной прибыли к многомерной устойчивости: энергия, вода, земля, человек, знания, безопасность.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3. Двенадцать контуров анализа</w:t>
      </w:r>
    </w:p>
    <w:p>
      <w:pPr>
        <w:spacing w:after="120"/>
      </w:pPr>
      <w:r>
        <w:rPr>
          <w:sz w:val="21"/>
        </w:rPr>
        <w:t>Контуры анализа позволяют не смешивать разные типы показателей и одновременно видеть их связанность. Каждый контур должен иметь собственные первичные данные, но итоговая оценка формируется только через межконтурные связи.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50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194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Контур</w:t>
            </w:r>
          </w:p>
        </w:tc>
        <w:tc>
          <w:tcPr>
            <w:tcW w:type="dxa" w:w="244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532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Что учитывать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Население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Люди как основа развития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демография, возраст, здоровье, миграция, качество человеческого капитала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Энергия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Источник возможностей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доступность, надежность, цена, чистота, автономность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Промышленность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Создание материального мира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производственные цепочки, оборудование, локализация, критические компетенции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Финансы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Кровеносная система экономики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долг, инвестиции, валютные зоны, клиринг, устойчивость расчетов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Транспорт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Движение людей и ресурсов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морские пути, железные дороги, авиация, городская мобильность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Наука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Познание и открытия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школы, лаборатории, инженерные кадры, фундаментальные исследования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Технологии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Ускорение прогресса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ИИ, цифровые двойники, микроэлектроника, роботы, материалы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Продовольствие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Безопасность жизни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урожайность, почвы, водный цикл, агротехнологии, доступность еды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Вода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Основа жизни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пресная вода, водосбережение, опреснение, санитарная инфраструктура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Экология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Баланс человека и природы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выбросы, биоразнообразие, рекультивация, климатическая адаптация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19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Культура</w:t>
            </w:r>
          </w:p>
        </w:tc>
        <w:tc>
          <w:tcPr>
            <w:tcW w:type="dxa" w:w="244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Ценности и смысл</w:t>
            </w:r>
          </w:p>
        </w:tc>
        <w:tc>
          <w:tcPr>
            <w:tcW w:type="dxa" w:w="532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язык, память, образование, диалог поколений, доверие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19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Безопасность</w:t>
            </w:r>
          </w:p>
        </w:tc>
        <w:tc>
          <w:tcPr>
            <w:tcW w:type="dxa" w:w="244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Стабильность и развитие</w:t>
            </w:r>
          </w:p>
        </w:tc>
        <w:tc>
          <w:tcPr>
            <w:tcW w:type="dxa" w:w="532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риски конфликтов, киберзащита, продовольственная и энергетическая устойчивость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4. Девятнадцать связанных балансов ЭКВИЛИБРИУМ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50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302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Баланс</w:t>
            </w:r>
          </w:p>
        </w:tc>
        <w:tc>
          <w:tcPr>
            <w:tcW w:type="dxa" w:w="648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Управленческое назначение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Демографический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Энергетический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Земельный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Продовольственный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Сырьевой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Промышленный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Транспортно-логистический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Финансовый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Научно-технологический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Образовательный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Здоровья и качества жизни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13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Экологический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Культурно-смысловой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Управленческий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16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Информационно-цифровой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Безопасности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30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Международной кооперации</w:t>
            </w:r>
          </w:p>
        </w:tc>
        <w:tc>
          <w:tcPr>
            <w:tcW w:type="dxa" w:w="648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  <w:tr>
        <w:tc>
          <w:tcPr>
            <w:tcW w:type="dxa" w:w="50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19</w:t>
            </w:r>
          </w:p>
        </w:tc>
        <w:tc>
          <w:tcPr>
            <w:tcW w:type="dxa" w:w="30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Межпоколенческий</w:t>
            </w:r>
          </w:p>
        </w:tc>
        <w:tc>
          <w:tcPr>
            <w:tcW w:type="dxa" w:w="648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Набор показателей, источников данных, ответственных институтов и проектных решений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5. Эволюция мировой системы по эпохам</w:t>
      </w:r>
    </w:p>
    <w:p>
      <w:pPr>
        <w:pStyle w:val="Heading2"/>
      </w:pPr>
      <w:r>
        <w:rPr>
          <w:rFonts w:ascii="Arial" w:hAnsi="Arial"/>
          <w:color w:val="0C3E74"/>
        </w:rPr>
        <w:t>1895–1914. Индустриальный разгон</w:t>
      </w:r>
    </w:p>
    <w:p>
      <w:pPr>
        <w:spacing w:after="120"/>
      </w:pPr>
      <w:r>
        <w:rPr>
          <w:sz w:val="21"/>
        </w:rPr>
        <w:t>Двигатель развития — Пар, сталь, железные дороги, электричество, телеграф; рост имперских рынков.</w:t>
      </w:r>
    </w:p>
    <w:p>
      <w:pPr>
        <w:spacing w:after="120"/>
      </w:pPr>
      <w:r>
        <w:rPr>
          <w:sz w:val="21"/>
        </w:rPr>
        <w:t>Ключевой дисбаланс — Ресурсы и производство быстрее институтов; колониальная асимметрия; социальное напряжение.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1914–1945. Эпоха мировых войн</w:t>
      </w:r>
    </w:p>
    <w:p>
      <w:pPr>
        <w:spacing w:after="120"/>
      </w:pPr>
      <w:r>
        <w:rPr>
          <w:sz w:val="21"/>
        </w:rPr>
        <w:t>Двигатель развития — Мобилизационная промышленность, нефть, авиация, радио, массовая армия.</w:t>
      </w:r>
    </w:p>
    <w:p>
      <w:pPr>
        <w:spacing w:after="120"/>
      </w:pPr>
      <w:r>
        <w:rPr>
          <w:sz w:val="21"/>
        </w:rPr>
        <w:t>Ключевой дисбаланс — Крушение старых империй; военная логика доминирует над экономикой; цена ошибки измеряется поколениями.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1945–1970. Послевоенное восстановление</w:t>
      </w:r>
    </w:p>
    <w:p>
      <w:pPr>
        <w:spacing w:after="120"/>
      </w:pPr>
      <w:r>
        <w:rPr>
          <w:sz w:val="21"/>
        </w:rPr>
        <w:t>Двигатель развития — Инфраструктурный рывок, атомная энергетика, институты ООН/Бреттон-Вудса, начало космической эры.</w:t>
      </w:r>
    </w:p>
    <w:p>
      <w:pPr>
        <w:spacing w:after="120"/>
      </w:pPr>
      <w:r>
        <w:rPr>
          <w:sz w:val="21"/>
        </w:rPr>
        <w:t>Ключевой дисбаланс — Рост качества жизни в индустриальных центрах при новой зависимости от энергии и сырья.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1970–1991. Холодная война и техногонка</w:t>
      </w:r>
    </w:p>
    <w:p>
      <w:pPr>
        <w:spacing w:after="120"/>
      </w:pPr>
      <w:r>
        <w:rPr>
          <w:sz w:val="21"/>
        </w:rPr>
        <w:t>Двигатель развития — Нефтяные шоки, вычислительные системы, спутники, системное планирование и военно-промышленные комплексы.</w:t>
      </w:r>
    </w:p>
    <w:p>
      <w:pPr>
        <w:spacing w:after="120"/>
      </w:pPr>
      <w:r>
        <w:rPr>
          <w:sz w:val="21"/>
        </w:rPr>
        <w:t>Ключевой дисбаланс — Гонка технологий без достаточной экологической обратной связи; высокая стоимость блоковой конфронтации.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1991–2020. Глобализация и цифровой переход</w:t>
      </w:r>
    </w:p>
    <w:p>
      <w:pPr>
        <w:spacing w:after="120"/>
      </w:pPr>
      <w:r>
        <w:rPr>
          <w:sz w:val="21"/>
        </w:rPr>
        <w:t>Двигатель развития — Контейнерная логистика, интернет, финансовые рынки, платформенные корпорации, быстрый рост Китая.</w:t>
      </w:r>
    </w:p>
    <w:p>
      <w:pPr>
        <w:spacing w:after="120"/>
      </w:pPr>
      <w:r>
        <w:rPr>
          <w:sz w:val="21"/>
        </w:rPr>
        <w:t>Ключевой дисбаланс — Высокая эффективность цепочек ценности, но уязвимость к шокам, санкциям и концентрации данных.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2"/>
      </w:pPr>
      <w:r>
        <w:rPr>
          <w:rFonts w:ascii="Arial" w:hAnsi="Arial"/>
          <w:color w:val="0C3E74"/>
        </w:rPr>
        <w:t>2020–2025. Порог Нового Уклада</w:t>
      </w:r>
    </w:p>
    <w:p>
      <w:pPr>
        <w:spacing w:after="120"/>
      </w:pPr>
      <w:r>
        <w:rPr>
          <w:sz w:val="21"/>
        </w:rPr>
        <w:t>Двигатель развития — Пандемия, санкционные контуры, энергетическая перестройка, ИИ, электрификация, климатические риски.</w:t>
      </w:r>
    </w:p>
    <w:p>
      <w:pPr>
        <w:spacing w:after="120"/>
      </w:pPr>
      <w:r>
        <w:rPr>
          <w:sz w:val="21"/>
        </w:rPr>
        <w:t>Ключевой дисбаланс — Переход от одномерной прибыли к многомерной устойчивости: энергия, вода, земля, человек, знания, безопасность.</w:t>
      </w:r>
    </w:p>
    <w:p>
      <w:pPr>
        <w:spacing w:after="120"/>
      </w:pPr>
      <w:r>
        <w:rPr>
          <w:sz w:val="21"/>
        </w:rPr>
        <w:t>Вывод для Нового Уклада — каждую эпоху нужно читать не только как историю роста, но и как накопление скрытых обязательств: экологических, демографических, технологических, финансовых и культурных.</w:t>
      </w:r>
    </w:p>
    <w:p>
      <w:pPr>
        <w:pStyle w:val="Heading1"/>
      </w:pPr>
      <w:r>
        <w:rPr>
          <w:rFonts w:ascii="Arial" w:hAnsi="Arial"/>
          <w:color w:val="0C3E74"/>
        </w:rPr>
        <w:t>6. Центры силы: Россия, Китай, США, Европа и мир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122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Центр</w:t>
            </w:r>
          </w:p>
        </w:tc>
        <w:tc>
          <w:tcPr>
            <w:tcW w:type="dxa" w:w="460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Сильная сторона</w:t>
            </w:r>
          </w:p>
        </w:tc>
        <w:tc>
          <w:tcPr>
            <w:tcW w:type="dxa" w:w="432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Ограничение / риск</w:t>
            </w:r>
          </w:p>
        </w:tc>
      </w:tr>
      <w:tr>
        <w:tc>
          <w:tcPr>
            <w:tcW w:type="dxa" w:w="12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Россия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ресурсы, территория, вода, энергетика, фундаментальная наука, безопасность</w:t>
            </w:r>
          </w:p>
        </w:tc>
        <w:tc>
          <w:tcPr>
            <w:tcW w:type="dxa" w:w="432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демография, технологическая локализация, капитализация знаний, инфраструктурная связанность</w:t>
            </w:r>
          </w:p>
        </w:tc>
      </w:tr>
      <w:tr>
        <w:tc>
          <w:tcPr>
            <w:tcW w:type="dxa" w:w="12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Китай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производство, инфраструктурная дисциплина, скорость масштабирования, промышленная кооперация</w:t>
            </w:r>
          </w:p>
        </w:tc>
        <w:tc>
          <w:tcPr>
            <w:tcW w:type="dxa" w:w="432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демография, энергетическая зависимость, экологическая нагрузка, внешние рынки</w:t>
            </w:r>
          </w:p>
        </w:tc>
      </w:tr>
      <w:tr>
        <w:tc>
          <w:tcPr>
            <w:tcW w:type="dxa" w:w="12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США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финансы, университеты, цифровые платформы, оборонные технологии, предпринимательство</w:t>
            </w:r>
          </w:p>
        </w:tc>
        <w:tc>
          <w:tcPr>
            <w:tcW w:type="dxa" w:w="432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долг, социальная поляризация, деградация инфраструктуры, доверие к институтам</w:t>
            </w:r>
          </w:p>
        </w:tc>
      </w:tr>
      <w:tr>
        <w:tc>
          <w:tcPr>
            <w:tcW w:type="dxa" w:w="122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Европа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стандарты, культура, регуляторные модели, качество жизни, зеленая повестка</w:t>
            </w:r>
          </w:p>
        </w:tc>
        <w:tc>
          <w:tcPr>
            <w:tcW w:type="dxa" w:w="432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энергетическая цена, промышленная конкурентоспособность, миграционная и политическая фрагментация</w:t>
            </w:r>
          </w:p>
        </w:tc>
      </w:tr>
      <w:tr>
        <w:tc>
          <w:tcPr>
            <w:tcW w:type="dxa" w:w="122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Мир в целом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единая научная база, глобальные коммуникации, технологическое ускорение</w:t>
            </w:r>
          </w:p>
        </w:tc>
        <w:tc>
          <w:tcPr>
            <w:tcW w:type="dxa" w:w="432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водный стресс, климатические риски, неравный доступ к энергии, рост конфликтности</w:t>
            </w:r>
          </w:p>
        </w:tc>
      </w:tr>
    </w:tbl>
    <w:p/>
    <w:p>
      <w:pPr>
        <w:spacing w:after="120"/>
      </w:pPr>
      <w:r>
        <w:rPr>
          <w:sz w:val="21"/>
        </w:rPr>
        <w:t>Практический вывод: сильная стратегия не в том, чтобы объявить одного победителя, а в том, чтобы увидеть несовпадающие профили силы. Россия дает ресурсно-территориальную глубину, Китай — масштаб промышленного воплощения, США — предпринимательскую и цифровую скорость, Европа — стандарты и культурно-правовую норму, а мировой контур задает необходимость согласования.</w:t>
      </w:r>
    </w:p>
    <w:p>
      <w:pPr>
        <w:pStyle w:val="Heading1"/>
      </w:pPr>
      <w:r>
        <w:rPr>
          <w:rFonts w:ascii="Arial" w:hAnsi="Arial"/>
          <w:color w:val="0C3E74"/>
        </w:rPr>
        <w:t>7. Многомерные рейтинги вместо одномерной иерархии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2592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Измерение</w:t>
            </w:r>
          </w:p>
        </w:tc>
        <w:tc>
          <w:tcPr>
            <w:tcW w:type="dxa" w:w="3312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Что измеряет</w:t>
            </w:r>
          </w:p>
        </w:tc>
        <w:tc>
          <w:tcPr>
            <w:tcW w:type="dxa" w:w="4176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Почему важно</w:t>
            </w:r>
          </w:p>
        </w:tc>
      </w:tr>
      <w:tr>
        <w:tc>
          <w:tcPr>
            <w:tcW w:type="dxa" w:w="259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Ресурсная база</w:t>
            </w:r>
          </w:p>
        </w:tc>
        <w:tc>
          <w:tcPr>
            <w:tcW w:type="dxa" w:w="331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вода, земля, сырье, биоценозы</w:t>
            </w:r>
          </w:p>
        </w:tc>
        <w:tc>
          <w:tcPr>
            <w:tcW w:type="dxa" w:w="417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не владение ресурсом, а способность воспроизводить его без деградации</w:t>
            </w:r>
          </w:p>
        </w:tc>
      </w:tr>
      <w:tr>
        <w:tc>
          <w:tcPr>
            <w:tcW w:type="dxa" w:w="259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Энергетическая устойчивость</w:t>
            </w:r>
          </w:p>
        </w:tc>
        <w:tc>
          <w:tcPr>
            <w:tcW w:type="dxa" w:w="331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доступность, цена, чистота, резерв</w:t>
            </w:r>
          </w:p>
        </w:tc>
        <w:tc>
          <w:tcPr>
            <w:tcW w:type="dxa" w:w="417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переход от топлива к надежной полезной работе</w:t>
            </w:r>
          </w:p>
        </w:tc>
      </w:tr>
      <w:tr>
        <w:tc>
          <w:tcPr>
            <w:tcW w:type="dxa" w:w="259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Научно-технологический потенциал</w:t>
            </w:r>
          </w:p>
        </w:tc>
        <w:tc>
          <w:tcPr>
            <w:tcW w:type="dxa" w:w="331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кадры, НИОКР, патенты, вычисления</w:t>
            </w:r>
          </w:p>
        </w:tc>
        <w:tc>
          <w:tcPr>
            <w:tcW w:type="dxa" w:w="417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знания становятся первичным капиталом</w:t>
            </w:r>
          </w:p>
        </w:tc>
      </w:tr>
      <w:tr>
        <w:tc>
          <w:tcPr>
            <w:tcW w:type="dxa" w:w="259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Качество жизни</w:t>
            </w:r>
          </w:p>
        </w:tc>
        <w:tc>
          <w:tcPr>
            <w:tcW w:type="dxa" w:w="331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здоровье, жилье, образование, безопасность</w:t>
            </w:r>
          </w:p>
        </w:tc>
        <w:tc>
          <w:tcPr>
            <w:tcW w:type="dxa" w:w="417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экономический рост проверяется жизнью человека</w:t>
            </w:r>
          </w:p>
        </w:tc>
      </w:tr>
      <w:tr>
        <w:tc>
          <w:tcPr>
            <w:tcW w:type="dxa" w:w="259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Экологический баланс</w:t>
            </w:r>
          </w:p>
        </w:tc>
        <w:tc>
          <w:tcPr>
            <w:tcW w:type="dxa" w:w="3312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выбросы, вода, земля, биоразнообразие</w:t>
            </w:r>
          </w:p>
        </w:tc>
        <w:tc>
          <w:tcPr>
            <w:tcW w:type="dxa" w:w="4176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не компенсация ущерба, а восстановление систем</w:t>
            </w:r>
          </w:p>
        </w:tc>
      </w:tr>
      <w:tr>
        <w:tc>
          <w:tcPr>
            <w:tcW w:type="dxa" w:w="259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Связанность управления</w:t>
            </w:r>
          </w:p>
        </w:tc>
        <w:tc>
          <w:tcPr>
            <w:tcW w:type="dxa" w:w="3312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данные, реестры, балансы, решения</w:t>
            </w:r>
          </w:p>
        </w:tc>
        <w:tc>
          <w:tcPr>
            <w:tcW w:type="dxa" w:w="4176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решение должно видеть всю систему, а не один показатель</w:t>
            </w:r>
          </w:p>
        </w:tc>
      </w:tr>
    </w:tbl>
    <w:p/>
    <w:p>
      <w:pPr>
        <w:spacing w:after="120"/>
      </w:pPr>
      <w:r>
        <w:rPr>
          <w:sz w:val="21"/>
        </w:rPr>
        <w:t>Рейтинг Нового Уклада не должен сводиться к одной цифре. Итог — это профиль, где видны сильные стороны, провалы и цена роста. Такая модель честнее: страна или проект могут быть сильны в энергии и промышленности, но слабы в воде, здоровье, экологии или доверии.</w:t>
      </w:r>
    </w:p>
    <w:p>
      <w:pPr>
        <w:pStyle w:val="Heading1"/>
      </w:pPr>
      <w:r>
        <w:rPr>
          <w:rFonts w:ascii="Arial" w:hAnsi="Arial"/>
          <w:color w:val="0C3E74"/>
        </w:rPr>
        <w:t>8. Модель 19×19: от баланса к решению</w:t>
      </w:r>
    </w:p>
    <w:p>
      <w:pPr>
        <w:spacing w:after="120"/>
      </w:pPr>
      <w:r>
        <w:rPr>
          <w:sz w:val="21"/>
        </w:rPr>
        <w:t>Для каждого проекта формируется матрица 19×19: как одно решение влияет на остальные балансы. Например, новая энергетическая платформа меняет не только энергетику, но и воду, землю, продовольствие, транспорт, безопасность, финансы, науку и культуру использования ресурсов.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216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Вход проекта</w:t>
            </w:r>
          </w:p>
        </w:tc>
        <w:tc>
          <w:tcPr>
            <w:tcW w:type="dxa" w:w="388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388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Выход в баланс</w:t>
            </w:r>
          </w:p>
        </w:tc>
      </w:tr>
      <w:tr>
        <w:tc>
          <w:tcPr>
            <w:tcW w:type="dxa" w:w="216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Энергетика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мощность, надежность, стоимость жизненного цикла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энергетический, промышленный, финансовый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Вода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доступность, очистка, потери, качество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водный, здоровья, экологический</w:t>
            </w:r>
          </w:p>
        </w:tc>
      </w:tr>
      <w:tr>
        <w:tc>
          <w:tcPr>
            <w:tcW w:type="dxa" w:w="216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Земля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плодородие, восстановление, нагрузка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земельный, продовольственный, экологический</w:t>
            </w:r>
          </w:p>
        </w:tc>
      </w:tr>
      <w:tr>
        <w:tc>
          <w:tcPr>
            <w:tcW w:type="dxa" w:w="216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Знания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исследования, кадры, архив данных</w:t>
            </w:r>
          </w:p>
        </w:tc>
        <w:tc>
          <w:tcPr>
            <w:tcW w:type="dxa" w:w="388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научно-технологический, образовательный, культурный</w:t>
            </w:r>
          </w:p>
        </w:tc>
      </w:tr>
      <w:tr>
        <w:tc>
          <w:tcPr>
            <w:tcW w:type="dxa" w:w="216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Безопасность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устойчивость цепочек, резерв, риски</w:t>
            </w:r>
          </w:p>
        </w:tc>
        <w:tc>
          <w:tcPr>
            <w:tcW w:type="dxa" w:w="388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безопасности, управленческий, международной кооперации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9. Синхронизация держав: польза и ограничения</w:t>
      </w:r>
    </w:p>
    <w:p>
      <w:pPr>
        <w:spacing w:after="120"/>
      </w:pPr>
      <w:r>
        <w:rPr>
          <w:sz w:val="21"/>
        </w:rPr>
        <w:t>Сценарий синхронизации трех-четырех крупнейших центров силы может дать выигрыш в инфраструктуре, энергетике, науке и климатической адаптации. Но он невозможен без правил доверия: открытая верификация данных, уважение суверенитета, разделение критических технологий и независимый контроль результатов.</w:t>
      </w:r>
    </w:p>
    <w:p>
      <w:pPr>
        <w:spacing w:after="120"/>
      </w:pPr>
      <w:r>
        <w:rPr>
          <w:sz w:val="21"/>
        </w:rPr>
        <w:t>Минимальная безопасная формула: конкуренция идей сохраняется, но критические природные и гуманитарные контуры переводятся из логики разрушения в логику совместного обеспечения жизни.</w:t>
      </w:r>
    </w:p>
    <w:p>
      <w:pPr>
        <w:pStyle w:val="Heading1"/>
      </w:pPr>
      <w:r>
        <w:rPr>
          <w:rFonts w:ascii="Arial" w:hAnsi="Arial"/>
          <w:color w:val="0C3E74"/>
        </w:rPr>
        <w:t>10. Переход к Новому Укладу</w:t>
      </w:r>
    </w:p>
    <w:p>
      <w:pPr>
        <w:spacing w:after="120"/>
      </w:pPr>
      <w:r>
        <w:rPr>
          <w:b/>
          <w:color w:val="0C3E74"/>
          <w:sz w:val="21"/>
        </w:rPr>
        <w:t xml:space="preserve">1. История как диагностика — </w:t>
      </w:r>
      <w:r>
        <w:rPr>
          <w:sz w:val="21"/>
        </w:rPr>
        <w:t>130 лет балансов показывают повторяющиеся узлы: энергия, финансы, промышленность, войны, вода, продовольствие, культура, безопасность.</w:t>
      </w:r>
    </w:p>
    <w:p>
      <w:pPr>
        <w:spacing w:after="120"/>
      </w:pPr>
      <w:r>
        <w:rPr>
          <w:b/>
          <w:color w:val="0C3E74"/>
          <w:sz w:val="21"/>
        </w:rPr>
        <w:t xml:space="preserve">2. Балансы как язык управления — </w:t>
      </w:r>
      <w:r>
        <w:rPr>
          <w:sz w:val="21"/>
        </w:rPr>
        <w:t>Каждое решение проходит не только финансовую оценку, но и проверку по 19 связанным балансам.</w:t>
      </w:r>
    </w:p>
    <w:p>
      <w:pPr>
        <w:spacing w:after="120"/>
      </w:pPr>
      <w:r>
        <w:rPr>
          <w:b/>
          <w:color w:val="0C3E74"/>
          <w:sz w:val="21"/>
        </w:rPr>
        <w:t xml:space="preserve">3. Пилоты как доказательство — </w:t>
      </w:r>
      <w:r>
        <w:rPr>
          <w:sz w:val="21"/>
        </w:rPr>
        <w:t>Город знания, ECO-PPA, архив наследия, биоценозы и вычислительный ГРИД становятся полигонами проверяемой практики.</w:t>
      </w:r>
    </w:p>
    <w:p>
      <w:pPr>
        <w:spacing w:after="120"/>
      </w:pPr>
      <w:r>
        <w:rPr>
          <w:b/>
          <w:color w:val="0C3E74"/>
          <w:sz w:val="21"/>
        </w:rPr>
        <w:t xml:space="preserve">4. Масштабирование через стандарты — </w:t>
      </w:r>
      <w:r>
        <w:rPr>
          <w:sz w:val="21"/>
        </w:rPr>
        <w:t>Тиражируются не лозунги, а паспорта проектов, данные, доказательства, договоры и измеренные эффекты.</w:t>
      </w:r>
    </w:p>
    <w:p>
      <w:pPr>
        <w:pStyle w:val="Heading1"/>
      </w:pPr>
      <w:r>
        <w:rPr>
          <w:rFonts w:ascii="Arial" w:hAnsi="Arial"/>
          <w:color w:val="0C3E74"/>
        </w:rPr>
        <w:t>11. План первых 90 дней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1440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4608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Действие</w:t>
            </w:r>
          </w:p>
        </w:tc>
        <w:tc>
          <w:tcPr>
            <w:tcW w:type="dxa" w:w="3744"/>
            <w:vAlign w:val="center"/>
            <w:shd w:fill="1F4E79"/>
          </w:tcPr>
          <w:p>
            <w:r/>
            <w:r>
              <w:rPr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144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0–15 дней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Собрать рабочую группу, утвердить 12 контуров и 19 балансов</w:t>
            </w:r>
          </w:p>
        </w:tc>
        <w:tc>
          <w:tcPr>
            <w:tcW w:type="dxa" w:w="37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Единый словарь анализа и структура данных</w:t>
            </w:r>
          </w:p>
        </w:tc>
      </w:tr>
      <w:tr>
        <w:tc>
          <w:tcPr>
            <w:tcW w:type="dxa" w:w="144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15–30 дней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Сформировать базовый набор индикаторов по 1895–2025</w:t>
            </w:r>
          </w:p>
        </w:tc>
        <w:tc>
          <w:tcPr>
            <w:tcW w:type="dxa" w:w="37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Черновой датасет и карта источников</w:t>
            </w:r>
          </w:p>
        </w:tc>
      </w:tr>
      <w:tr>
        <w:tc>
          <w:tcPr>
            <w:tcW w:type="dxa" w:w="144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30–45 дней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Собрать профили России, Китая, США, Европы и мира</w:t>
            </w:r>
          </w:p>
        </w:tc>
        <w:tc>
          <w:tcPr>
            <w:tcW w:type="dxa" w:w="37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Сравнительные профили сильных сторон и рисков</w:t>
            </w:r>
          </w:p>
        </w:tc>
      </w:tr>
      <w:tr>
        <w:tc>
          <w:tcPr>
            <w:tcW w:type="dxa" w:w="144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45–60 дней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Сделать матрицу 19×19 для 5 пилотов</w:t>
            </w:r>
          </w:p>
        </w:tc>
        <w:tc>
          <w:tcPr>
            <w:tcW w:type="dxa" w:w="37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Понимание межбалансовых эффектов</w:t>
            </w:r>
          </w:p>
        </w:tc>
      </w:tr>
      <w:tr>
        <w:tc>
          <w:tcPr>
            <w:tcW w:type="dxa" w:w="1440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60–75 дней</w:t>
            </w:r>
          </w:p>
        </w:tc>
        <w:tc>
          <w:tcPr>
            <w:tcW w:type="dxa" w:w="4608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Подготовить цифровой паспорт проекта и архив доказательств</w:t>
            </w:r>
          </w:p>
        </w:tc>
        <w:tc>
          <w:tcPr>
            <w:tcW w:type="dxa" w:w="3744"/>
            <w:vAlign w:val="center"/>
            <w:shd w:fill="F7FBFF"/>
          </w:tcPr>
          <w:p>
            <w:r/>
            <w:r>
              <w:rPr>
                <w:b w:val="0"/>
                <w:sz w:val="16"/>
              </w:rPr>
              <w:t>Управляемый контур верификации</w:t>
            </w:r>
          </w:p>
        </w:tc>
      </w:tr>
      <w:tr>
        <w:tc>
          <w:tcPr>
            <w:tcW w:type="dxa" w:w="1440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75–90 дней</w:t>
            </w:r>
          </w:p>
        </w:tc>
        <w:tc>
          <w:tcPr>
            <w:tcW w:type="dxa" w:w="4608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Собрать доклад, презентацию и решение о пилотировании</w:t>
            </w:r>
          </w:p>
        </w:tc>
        <w:tc>
          <w:tcPr>
            <w:tcW w:type="dxa" w:w="3744"/>
            <w:vAlign w:val="center"/>
            <w:shd w:fill="FFFFFF"/>
          </w:tcPr>
          <w:p>
            <w:r/>
            <w:r>
              <w:rPr>
                <w:b w:val="0"/>
                <w:sz w:val="16"/>
              </w:rPr>
              <w:t>Пакет для адресатов и партнеров</w:t>
            </w:r>
          </w:p>
        </w:tc>
      </w:tr>
    </w:tbl>
    <w:p/>
    <w:p>
      <w:pPr>
        <w:pStyle w:val="Heading1"/>
      </w:pPr>
      <w:r>
        <w:rPr>
          <w:rFonts w:ascii="Arial" w:hAnsi="Arial"/>
          <w:color w:val="0C3E74"/>
        </w:rPr>
        <w:t>12. Источники и фактологическая база</w:t>
      </w:r>
    </w:p>
    <w:p>
      <w:pPr>
        <w:spacing w:after="120"/>
      </w:pPr>
      <w:r>
        <w:rPr>
          <w:sz w:val="21"/>
        </w:rPr>
        <w:t>ООН, World Population Prospects 2024 — демографическая рамка и прогнозы численности населения.</w:t>
      </w:r>
    </w:p>
    <w:p>
      <w:pPr>
        <w:spacing w:after="120"/>
      </w:pPr>
      <w:r>
        <w:rPr>
          <w:sz w:val="21"/>
        </w:rPr>
        <w:t>IEA, World Energy Outlook 2024 и Global Energy Review 2025 — энергетическая динамика, электричество, чистая генерация и структура спроса.</w:t>
      </w:r>
    </w:p>
    <w:p>
      <w:pPr>
        <w:spacing w:after="120"/>
      </w:pPr>
      <w:r>
        <w:rPr>
          <w:sz w:val="21"/>
        </w:rPr>
        <w:t>World Bank Data — ВВП, население, урбанизация, торговля, финансовые и социальные индикаторы.</w:t>
      </w:r>
    </w:p>
    <w:p>
      <w:pPr>
        <w:spacing w:after="120"/>
      </w:pPr>
      <w:r>
        <w:rPr>
          <w:sz w:val="21"/>
        </w:rPr>
        <w:t>Our World in Data — долгие ряды по населению, энергии, выбросам, образованию, здоровью и технологиям.</w:t>
      </w:r>
    </w:p>
    <w:p>
      <w:pPr>
        <w:spacing w:after="120"/>
      </w:pPr>
      <w:r>
        <w:rPr>
          <w:sz w:val="21"/>
        </w:rPr>
        <w:t>FAO AQUASTAT и UN-Water — водные ресурсы, землепользование и продовольственная безопасность.</w:t>
      </w:r>
    </w:p>
    <w:p>
      <w:pPr>
        <w:spacing w:after="120"/>
      </w:pPr>
      <w:r>
        <w:rPr>
          <w:sz w:val="21"/>
        </w:rPr>
        <w:t>Финальная формула: прошлые 130 лет показывают цену несогласованных балансов. Следующие 130 лет должны быть спроектированы как система воспроизводства жизни, знаний, энергии, воды, земли и человеческого достоинства.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